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7E48" w:rsidRPr="000C6EB6" w:rsidRDefault="00987E48" w:rsidP="000C6EB6">
      <w:pPr>
        <w:spacing w:before="20" w:after="200"/>
        <w:jc w:val="left"/>
        <w:rPr>
          <w:rFonts w:cs="Times New Roman"/>
          <w:color w:val="auto"/>
          <w:szCs w:val="28"/>
        </w:rPr>
      </w:pPr>
      <w:r w:rsidRPr="000C6EB6">
        <w:rPr>
          <w:rFonts w:cs="Times New Roman"/>
          <w:color w:val="auto"/>
          <w:szCs w:val="28"/>
        </w:rPr>
        <w:t>УДК 621.791</w:t>
      </w:r>
    </w:p>
    <w:p w:rsidR="000C6EB6" w:rsidRPr="000C6EB6" w:rsidRDefault="000C6EB6" w:rsidP="000C6EB6">
      <w:pPr>
        <w:spacing w:before="20" w:after="200"/>
        <w:contextualSpacing/>
        <w:rPr>
          <w:rFonts w:cs="Times New Roman"/>
          <w:b/>
          <w:color w:val="auto"/>
          <w:szCs w:val="28"/>
        </w:rPr>
      </w:pPr>
      <w:r w:rsidRPr="000C6EB6">
        <w:rPr>
          <w:rFonts w:cs="Times New Roman"/>
          <w:b/>
          <w:color w:val="auto"/>
          <w:szCs w:val="28"/>
        </w:rPr>
        <w:t>Диффузионная сварка титановых слоистых конструкций</w:t>
      </w:r>
    </w:p>
    <w:p w:rsidR="00987E48" w:rsidRPr="000C6EB6" w:rsidRDefault="00987E48" w:rsidP="000C6EB6">
      <w:pPr>
        <w:spacing w:before="20" w:after="200"/>
        <w:contextualSpacing/>
        <w:rPr>
          <w:rFonts w:cs="Times New Roman"/>
          <w:color w:val="auto"/>
          <w:szCs w:val="28"/>
        </w:rPr>
      </w:pPr>
      <w:r w:rsidRPr="000C6EB6">
        <w:rPr>
          <w:rFonts w:cs="Times New Roman"/>
          <w:color w:val="auto"/>
          <w:szCs w:val="28"/>
        </w:rPr>
        <w:t>Пешков В</w:t>
      </w:r>
      <w:r w:rsidR="000C6EB6" w:rsidRPr="000C6EB6">
        <w:rPr>
          <w:rFonts w:cs="Times New Roman"/>
          <w:color w:val="auto"/>
          <w:szCs w:val="28"/>
        </w:rPr>
        <w:t>.</w:t>
      </w:r>
      <w:r w:rsidRPr="000C6EB6">
        <w:rPr>
          <w:rFonts w:cs="Times New Roman"/>
          <w:color w:val="auto"/>
          <w:szCs w:val="28"/>
        </w:rPr>
        <w:t>В</w:t>
      </w:r>
      <w:r w:rsidR="000C6EB6" w:rsidRPr="000C6EB6">
        <w:rPr>
          <w:rFonts w:cs="Times New Roman"/>
          <w:color w:val="auto"/>
          <w:szCs w:val="28"/>
        </w:rPr>
        <w:t>.</w:t>
      </w:r>
      <w:r w:rsidR="000C6EB6" w:rsidRPr="000C6EB6">
        <w:rPr>
          <w:rFonts w:cs="Times New Roman"/>
          <w:color w:val="auto"/>
          <w:szCs w:val="28"/>
          <w:vertAlign w:val="superscript"/>
        </w:rPr>
        <w:t>1</w:t>
      </w:r>
      <w:r w:rsidRPr="000C6EB6">
        <w:rPr>
          <w:rFonts w:cs="Times New Roman"/>
          <w:color w:val="auto"/>
          <w:szCs w:val="28"/>
        </w:rPr>
        <w:t>, д</w:t>
      </w:r>
      <w:r w:rsidR="000C6EB6" w:rsidRPr="000C6EB6">
        <w:rPr>
          <w:rFonts w:cs="Times New Roman"/>
          <w:color w:val="auto"/>
          <w:szCs w:val="28"/>
        </w:rPr>
        <w:t>.</w:t>
      </w:r>
      <w:r w:rsidRPr="000C6EB6">
        <w:rPr>
          <w:rFonts w:cs="Times New Roman"/>
          <w:color w:val="auto"/>
          <w:szCs w:val="28"/>
        </w:rPr>
        <w:t>т.н</w:t>
      </w:r>
      <w:r w:rsidR="000C6EB6" w:rsidRPr="000C6EB6">
        <w:rPr>
          <w:rFonts w:cs="Times New Roman"/>
          <w:color w:val="auto"/>
          <w:szCs w:val="28"/>
        </w:rPr>
        <w:t>.</w:t>
      </w:r>
      <w:r w:rsidRPr="000C6EB6">
        <w:rPr>
          <w:rFonts w:cs="Times New Roman"/>
          <w:color w:val="auto"/>
          <w:szCs w:val="28"/>
        </w:rPr>
        <w:t>, Булков А</w:t>
      </w:r>
      <w:r w:rsidR="000C6EB6" w:rsidRPr="000C6EB6">
        <w:rPr>
          <w:rFonts w:cs="Times New Roman"/>
          <w:color w:val="auto"/>
          <w:szCs w:val="28"/>
        </w:rPr>
        <w:t>.</w:t>
      </w:r>
      <w:r w:rsidRPr="000C6EB6">
        <w:rPr>
          <w:rFonts w:cs="Times New Roman"/>
          <w:color w:val="auto"/>
          <w:szCs w:val="28"/>
        </w:rPr>
        <w:t>Б</w:t>
      </w:r>
      <w:r w:rsidR="000C6EB6" w:rsidRPr="000C6EB6">
        <w:rPr>
          <w:rFonts w:cs="Times New Roman"/>
          <w:color w:val="auto"/>
          <w:szCs w:val="28"/>
        </w:rPr>
        <w:t>.</w:t>
      </w:r>
      <w:r w:rsidR="000C6EB6" w:rsidRPr="000C6EB6">
        <w:rPr>
          <w:rFonts w:cs="Times New Roman"/>
          <w:color w:val="auto"/>
          <w:szCs w:val="28"/>
          <w:vertAlign w:val="superscript"/>
        </w:rPr>
        <w:t>1</w:t>
      </w:r>
      <w:r w:rsidR="000C6EB6" w:rsidRPr="000C6EB6">
        <w:rPr>
          <w:rFonts w:cs="Times New Roman"/>
          <w:color w:val="auto"/>
          <w:szCs w:val="28"/>
        </w:rPr>
        <w:t>, к.т.н.</w:t>
      </w:r>
      <w:r w:rsidRPr="000C6EB6">
        <w:rPr>
          <w:rFonts w:cs="Times New Roman"/>
          <w:color w:val="auto"/>
          <w:szCs w:val="28"/>
        </w:rPr>
        <w:t>, Коломенский А</w:t>
      </w:r>
      <w:r w:rsidR="000C6EB6" w:rsidRPr="000C6EB6">
        <w:rPr>
          <w:rFonts w:cs="Times New Roman"/>
          <w:color w:val="auto"/>
          <w:szCs w:val="28"/>
        </w:rPr>
        <w:t>.</w:t>
      </w:r>
      <w:r w:rsidRPr="000C6EB6">
        <w:rPr>
          <w:rFonts w:cs="Times New Roman"/>
          <w:color w:val="auto"/>
          <w:szCs w:val="28"/>
        </w:rPr>
        <w:t>Б</w:t>
      </w:r>
      <w:r w:rsidR="000C6EB6" w:rsidRPr="000C6EB6">
        <w:rPr>
          <w:rFonts w:cs="Times New Roman"/>
          <w:color w:val="auto"/>
          <w:szCs w:val="28"/>
        </w:rPr>
        <w:t>.</w:t>
      </w:r>
      <w:r w:rsidR="000C6EB6" w:rsidRPr="000C6EB6">
        <w:rPr>
          <w:rFonts w:cs="Times New Roman"/>
          <w:color w:val="auto"/>
          <w:szCs w:val="28"/>
          <w:vertAlign w:val="superscript"/>
        </w:rPr>
        <w:t>2</w:t>
      </w:r>
      <w:r w:rsidRPr="000C6EB6">
        <w:rPr>
          <w:rFonts w:cs="Times New Roman"/>
          <w:color w:val="auto"/>
          <w:szCs w:val="28"/>
        </w:rPr>
        <w:t xml:space="preserve">, </w:t>
      </w:r>
      <w:r w:rsidR="000C6EB6" w:rsidRPr="000C6EB6">
        <w:rPr>
          <w:rFonts w:cs="Times New Roman"/>
          <w:color w:val="auto"/>
          <w:szCs w:val="28"/>
        </w:rPr>
        <w:t>д.т.н.</w:t>
      </w:r>
      <w:r w:rsidRPr="000C6EB6">
        <w:rPr>
          <w:rFonts w:cs="Times New Roman"/>
          <w:color w:val="auto"/>
          <w:szCs w:val="28"/>
        </w:rPr>
        <w:t xml:space="preserve">, </w:t>
      </w:r>
      <w:r w:rsidR="000C6EB6">
        <w:rPr>
          <w:rFonts w:cs="Times New Roman"/>
          <w:color w:val="auto"/>
          <w:szCs w:val="28"/>
        </w:rPr>
        <w:br/>
      </w:r>
      <w:r w:rsidRPr="000C6EB6">
        <w:rPr>
          <w:rFonts w:cs="Times New Roman"/>
          <w:color w:val="auto"/>
          <w:szCs w:val="28"/>
        </w:rPr>
        <w:t>Егоров В</w:t>
      </w:r>
      <w:r w:rsidR="000C6EB6" w:rsidRPr="000C6EB6">
        <w:rPr>
          <w:rFonts w:cs="Times New Roman"/>
          <w:color w:val="auto"/>
          <w:szCs w:val="28"/>
        </w:rPr>
        <w:t>.</w:t>
      </w:r>
      <w:r w:rsidRPr="000C6EB6">
        <w:rPr>
          <w:rFonts w:cs="Times New Roman"/>
          <w:color w:val="auto"/>
          <w:szCs w:val="28"/>
        </w:rPr>
        <w:t>Г</w:t>
      </w:r>
      <w:r w:rsidR="000C6EB6" w:rsidRPr="000C6EB6">
        <w:rPr>
          <w:rFonts w:cs="Times New Roman"/>
          <w:color w:val="auto"/>
          <w:szCs w:val="28"/>
        </w:rPr>
        <w:t>.</w:t>
      </w:r>
      <w:r w:rsidR="000C6EB6" w:rsidRPr="000C6EB6">
        <w:rPr>
          <w:rFonts w:cs="Times New Roman"/>
          <w:color w:val="auto"/>
          <w:szCs w:val="28"/>
          <w:vertAlign w:val="superscript"/>
        </w:rPr>
        <w:t>3</w:t>
      </w:r>
      <w:r w:rsidR="004F2500" w:rsidRPr="000C6EB6">
        <w:rPr>
          <w:rFonts w:cs="Times New Roman"/>
          <w:color w:val="auto"/>
          <w:szCs w:val="28"/>
        </w:rPr>
        <w:t xml:space="preserve">, </w:t>
      </w:r>
      <w:r w:rsidR="000C6EB6" w:rsidRPr="000C6EB6">
        <w:rPr>
          <w:rFonts w:cs="Times New Roman"/>
          <w:color w:val="auto"/>
          <w:szCs w:val="28"/>
        </w:rPr>
        <w:t>д.т.н.</w:t>
      </w:r>
    </w:p>
    <w:p w:rsidR="000C6EB6" w:rsidRPr="000C6EB6" w:rsidRDefault="000C6EB6" w:rsidP="000C6EB6">
      <w:pPr>
        <w:spacing w:before="20" w:after="200"/>
        <w:contextualSpacing/>
        <w:rPr>
          <w:rStyle w:val="a8"/>
          <w:rFonts w:cs="Times New Roman"/>
          <w:sz w:val="22"/>
          <w:lang w:val="en-US"/>
        </w:rPr>
      </w:pPr>
      <w:r w:rsidRPr="000C6EB6">
        <w:rPr>
          <w:rStyle w:val="a8"/>
          <w:rFonts w:cs="Times New Roman"/>
          <w:sz w:val="22"/>
          <w:szCs w:val="28"/>
          <w:lang w:val="en-US"/>
        </w:rPr>
        <w:t>bulkov_ab@mail.ru</w:t>
      </w:r>
    </w:p>
    <w:p w:rsidR="000C6EB6" w:rsidRPr="000C6EB6" w:rsidRDefault="000C6EB6" w:rsidP="000C6EB6">
      <w:pPr>
        <w:spacing w:before="20" w:after="200"/>
        <w:contextualSpacing/>
        <w:rPr>
          <w:rFonts w:cs="Times New Roman"/>
          <w:i/>
          <w:color w:val="auto"/>
          <w:szCs w:val="28"/>
        </w:rPr>
      </w:pPr>
      <w:r w:rsidRPr="000C6EB6">
        <w:rPr>
          <w:rFonts w:cs="Times New Roman"/>
          <w:i/>
          <w:color w:val="auto"/>
          <w:szCs w:val="28"/>
          <w:vertAlign w:val="superscript"/>
        </w:rPr>
        <w:t>1</w:t>
      </w:r>
      <w:r w:rsidRPr="000C6EB6">
        <w:rPr>
          <w:rFonts w:cs="Times New Roman"/>
          <w:i/>
          <w:color w:val="auto"/>
          <w:szCs w:val="28"/>
        </w:rPr>
        <w:t xml:space="preserve"> Воронежский государственный технический университет</w:t>
      </w:r>
    </w:p>
    <w:p w:rsidR="000C6EB6" w:rsidRPr="000C6EB6" w:rsidRDefault="000C6EB6" w:rsidP="000C6EB6">
      <w:pPr>
        <w:spacing w:before="20" w:after="200"/>
        <w:contextualSpacing/>
        <w:rPr>
          <w:rFonts w:cs="Times New Roman"/>
          <w:i/>
          <w:color w:val="auto"/>
          <w:szCs w:val="28"/>
        </w:rPr>
      </w:pPr>
      <w:r w:rsidRPr="000C6EB6">
        <w:rPr>
          <w:rFonts w:cs="Times New Roman"/>
          <w:i/>
          <w:color w:val="auto"/>
          <w:szCs w:val="28"/>
          <w:vertAlign w:val="superscript"/>
        </w:rPr>
        <w:t>2</w:t>
      </w:r>
      <w:r w:rsidRPr="000C6EB6">
        <w:rPr>
          <w:rFonts w:cs="Times New Roman"/>
          <w:i/>
          <w:color w:val="auto"/>
          <w:szCs w:val="28"/>
        </w:rPr>
        <w:t xml:space="preserve"> АО «Воронежское акционерное самолётостроительное общество», </w:t>
      </w:r>
      <w:r>
        <w:rPr>
          <w:rFonts w:cs="Times New Roman"/>
          <w:i/>
          <w:color w:val="auto"/>
          <w:szCs w:val="28"/>
        </w:rPr>
        <w:br/>
      </w:r>
      <w:r w:rsidRPr="000C6EB6">
        <w:rPr>
          <w:rFonts w:cs="Times New Roman"/>
          <w:i/>
          <w:color w:val="auto"/>
          <w:szCs w:val="28"/>
        </w:rPr>
        <w:t>г. Воронеж</w:t>
      </w:r>
    </w:p>
    <w:p w:rsidR="000C6EB6" w:rsidRPr="000C6EB6" w:rsidRDefault="000C6EB6" w:rsidP="000C6EB6">
      <w:pPr>
        <w:spacing w:before="20" w:after="200"/>
        <w:contextualSpacing/>
        <w:rPr>
          <w:rFonts w:cs="Times New Roman"/>
          <w:i/>
          <w:color w:val="auto"/>
          <w:szCs w:val="28"/>
        </w:rPr>
      </w:pPr>
      <w:r w:rsidRPr="000C6EB6">
        <w:rPr>
          <w:rFonts w:cs="Times New Roman"/>
          <w:i/>
          <w:color w:val="auto"/>
          <w:szCs w:val="28"/>
          <w:vertAlign w:val="superscript"/>
        </w:rPr>
        <w:t>3</w:t>
      </w:r>
      <w:r w:rsidRPr="000C6EB6">
        <w:rPr>
          <w:rFonts w:cs="Times New Roman"/>
          <w:i/>
          <w:color w:val="auto"/>
          <w:szCs w:val="28"/>
        </w:rPr>
        <w:t xml:space="preserve"> ОАО </w:t>
      </w:r>
      <w:r w:rsidRPr="000C6EB6">
        <w:rPr>
          <w:rFonts w:cs="Times New Roman"/>
          <w:i/>
          <w:color w:val="auto"/>
          <w:szCs w:val="28"/>
        </w:rPr>
        <w:t>"Научно-исследовательский институт автоматизированных средств производства и контроля"</w:t>
      </w:r>
      <w:r w:rsidRPr="000C6EB6">
        <w:rPr>
          <w:rFonts w:cs="Times New Roman"/>
          <w:i/>
          <w:color w:val="auto"/>
          <w:szCs w:val="28"/>
        </w:rPr>
        <w:t>, г. Воронеж</w:t>
      </w:r>
    </w:p>
    <w:p w:rsidR="00987E48" w:rsidRDefault="00987E48" w:rsidP="002B7A8B">
      <w:pPr>
        <w:jc w:val="center"/>
      </w:pPr>
    </w:p>
    <w:p w:rsidR="000C6EB6" w:rsidRPr="000C6EB6" w:rsidRDefault="000C6EB6" w:rsidP="000C6EB6">
      <w:pPr>
        <w:spacing w:before="20" w:after="200"/>
        <w:ind w:firstLine="709"/>
        <w:contextualSpacing/>
        <w:rPr>
          <w:rFonts w:cs="Times New Roman"/>
          <w:b/>
          <w:i/>
          <w:color w:val="auto"/>
          <w:szCs w:val="28"/>
        </w:rPr>
      </w:pPr>
      <w:r w:rsidRPr="000C6EB6">
        <w:rPr>
          <w:rFonts w:cs="Times New Roman"/>
          <w:b/>
          <w:i/>
          <w:color w:val="auto"/>
          <w:szCs w:val="28"/>
        </w:rPr>
        <w:t>Аннотация:</w:t>
      </w:r>
    </w:p>
    <w:p w:rsidR="000C6EB6" w:rsidRPr="000C6EB6" w:rsidRDefault="000C6EB6" w:rsidP="000C6EB6">
      <w:pPr>
        <w:spacing w:before="20" w:after="200"/>
        <w:ind w:firstLine="709"/>
        <w:contextualSpacing/>
        <w:rPr>
          <w:rFonts w:cs="Times New Roman"/>
          <w:color w:val="auto"/>
          <w:szCs w:val="28"/>
        </w:rPr>
      </w:pPr>
      <w:r w:rsidRPr="000C6EB6">
        <w:rPr>
          <w:rFonts w:cs="Times New Roman"/>
          <w:color w:val="auto"/>
          <w:szCs w:val="28"/>
        </w:rPr>
        <w:t>В статье рассмотрены перспективы применения диффузионной сварки для создания титановых слоистых конструкций аэрокосмической техники. На основании экспериментальных исследований, выполненных на образцах и натурных конструкциях, установлено, что диффузионная сварка обеспечивает более высокое качество конструкций по сравнению с традиционными спосо</w:t>
      </w:r>
      <w:r>
        <w:rPr>
          <w:rFonts w:cs="Times New Roman"/>
          <w:color w:val="auto"/>
          <w:szCs w:val="28"/>
        </w:rPr>
        <w:t>бами сварки и пайки</w:t>
      </w:r>
    </w:p>
    <w:p w:rsidR="000C6EB6" w:rsidRPr="000C6EB6" w:rsidRDefault="00987E48" w:rsidP="000C6EB6">
      <w:pPr>
        <w:spacing w:before="20" w:after="200"/>
        <w:ind w:firstLine="709"/>
        <w:contextualSpacing/>
        <w:rPr>
          <w:rFonts w:cs="Times New Roman"/>
          <w:b/>
          <w:i/>
          <w:color w:val="auto"/>
          <w:szCs w:val="28"/>
        </w:rPr>
      </w:pPr>
      <w:r w:rsidRPr="000C6EB6">
        <w:rPr>
          <w:rFonts w:cs="Times New Roman"/>
          <w:b/>
          <w:i/>
          <w:color w:val="auto"/>
          <w:szCs w:val="28"/>
        </w:rPr>
        <w:t xml:space="preserve">Ключевые слова: </w:t>
      </w:r>
    </w:p>
    <w:p w:rsidR="00987E48" w:rsidRDefault="00987E48" w:rsidP="002B7A8B">
      <w:pPr>
        <w:ind w:firstLine="720"/>
        <w:rPr>
          <w:szCs w:val="28"/>
        </w:rPr>
      </w:pPr>
      <w:r w:rsidRPr="00987E48">
        <w:rPr>
          <w:rFonts w:eastAsia="Calibri" w:cs="Times New Roman"/>
          <w:color w:val="000000"/>
          <w:szCs w:val="28"/>
        </w:rPr>
        <w:t xml:space="preserve">диффузионная сварка, титановые сплавы, </w:t>
      </w:r>
      <w:r w:rsidRPr="00987E48">
        <w:rPr>
          <w:szCs w:val="28"/>
        </w:rPr>
        <w:t>композиционные слоистые материалы, тонкостенные конструкции</w:t>
      </w:r>
    </w:p>
    <w:p w:rsidR="000C6EB6" w:rsidRDefault="000C6EB6" w:rsidP="002B7A8B">
      <w:pPr>
        <w:ind w:firstLine="720"/>
        <w:rPr>
          <w:szCs w:val="28"/>
        </w:rPr>
      </w:pPr>
    </w:p>
    <w:p w:rsidR="000C6EB6" w:rsidRPr="000C6EB6" w:rsidRDefault="000C6EB6" w:rsidP="000C6EB6">
      <w:pPr>
        <w:spacing w:before="20" w:after="200"/>
        <w:ind w:firstLine="709"/>
        <w:contextualSpacing/>
        <w:rPr>
          <w:rFonts w:cs="Times New Roman"/>
          <w:b/>
          <w:i/>
          <w:color w:val="auto"/>
          <w:szCs w:val="28"/>
        </w:rPr>
      </w:pPr>
      <w:r w:rsidRPr="000C6EB6">
        <w:rPr>
          <w:rFonts w:cs="Times New Roman"/>
          <w:b/>
          <w:i/>
          <w:color w:val="auto"/>
          <w:szCs w:val="28"/>
        </w:rPr>
        <w:t>Abstract:</w:t>
      </w:r>
    </w:p>
    <w:p w:rsidR="000C6EB6" w:rsidRPr="000C6EB6" w:rsidRDefault="000C6EB6" w:rsidP="000C6EB6">
      <w:pPr>
        <w:ind w:firstLine="720"/>
        <w:rPr>
          <w:rFonts w:eastAsia="Calibri" w:cs="Times New Roman"/>
          <w:color w:val="000000"/>
          <w:szCs w:val="28"/>
          <w:lang w:val="en-US"/>
        </w:rPr>
      </w:pPr>
      <w:r w:rsidRPr="000C6EB6">
        <w:rPr>
          <w:rFonts w:eastAsia="Calibri" w:cs="Times New Roman"/>
          <w:color w:val="000000"/>
          <w:szCs w:val="28"/>
        </w:rPr>
        <w:t xml:space="preserve">The article deals with the prospects for the use of diffusion bonding of titanium to create layered structures Aerospace Engineering. </w:t>
      </w:r>
      <w:r w:rsidRPr="000C6EB6">
        <w:rPr>
          <w:rFonts w:eastAsia="Calibri" w:cs="Times New Roman"/>
          <w:color w:val="000000"/>
          <w:szCs w:val="28"/>
          <w:lang w:val="en-US"/>
        </w:rPr>
        <w:t>Based on the experimental studies carried out on the samples and natural structures found that diffusion bonding provides higher quality designs as compared to traditional methods of welding and soldering</w:t>
      </w:r>
    </w:p>
    <w:p w:rsidR="000C6EB6" w:rsidRPr="000C6EB6" w:rsidRDefault="00987E48" w:rsidP="000C6EB6">
      <w:pPr>
        <w:spacing w:before="20" w:after="200"/>
        <w:ind w:firstLine="709"/>
        <w:contextualSpacing/>
        <w:rPr>
          <w:rFonts w:cs="Times New Roman"/>
          <w:b/>
          <w:i/>
          <w:color w:val="auto"/>
        </w:rPr>
      </w:pPr>
      <w:r w:rsidRPr="000C6EB6">
        <w:rPr>
          <w:rFonts w:cs="Times New Roman"/>
          <w:b/>
          <w:i/>
          <w:color w:val="auto"/>
        </w:rPr>
        <w:lastRenderedPageBreak/>
        <w:t>Keywords:</w:t>
      </w:r>
    </w:p>
    <w:p w:rsidR="00987E48" w:rsidRPr="00987E48" w:rsidRDefault="00987E48" w:rsidP="002B7A8B">
      <w:pPr>
        <w:ind w:firstLine="720"/>
        <w:rPr>
          <w:szCs w:val="28"/>
          <w:lang w:val="en-GB"/>
        </w:rPr>
      </w:pPr>
      <w:r w:rsidRPr="00C362B9">
        <w:rPr>
          <w:rStyle w:val="hps"/>
          <w:szCs w:val="28"/>
          <w:lang w:val="en-GB"/>
        </w:rPr>
        <w:t>diffusion bonding</w:t>
      </w:r>
      <w:r w:rsidRPr="00C362B9">
        <w:rPr>
          <w:szCs w:val="28"/>
          <w:lang w:val="en-GB"/>
        </w:rPr>
        <w:t xml:space="preserve">, titanium alloys, composite </w:t>
      </w:r>
      <w:r w:rsidRPr="00C362B9">
        <w:rPr>
          <w:rStyle w:val="hps"/>
          <w:szCs w:val="28"/>
          <w:lang w:val="en-GB"/>
        </w:rPr>
        <w:t>laminates</w:t>
      </w:r>
      <w:r w:rsidRPr="00C362B9">
        <w:rPr>
          <w:szCs w:val="28"/>
          <w:lang w:val="en-GB"/>
        </w:rPr>
        <w:t xml:space="preserve">, </w:t>
      </w:r>
      <w:r w:rsidRPr="00C362B9">
        <w:rPr>
          <w:rStyle w:val="hps"/>
          <w:szCs w:val="28"/>
          <w:lang w:val="en-GB"/>
        </w:rPr>
        <w:t>thin-walled constructions</w:t>
      </w:r>
    </w:p>
    <w:p w:rsidR="008A74D5" w:rsidRPr="008A74D5" w:rsidRDefault="008A74D5" w:rsidP="00C362B9">
      <w:pPr>
        <w:ind w:firstLine="720"/>
        <w:rPr>
          <w:szCs w:val="24"/>
          <w:lang w:val="en-US"/>
        </w:rPr>
      </w:pPr>
    </w:p>
    <w:p w:rsidR="009D4C60" w:rsidRDefault="00541A33" w:rsidP="00C362B9">
      <w:pPr>
        <w:ind w:firstLine="720"/>
        <w:rPr>
          <w:szCs w:val="24"/>
        </w:rPr>
      </w:pPr>
      <w:r w:rsidRPr="007A5DF6">
        <w:rPr>
          <w:szCs w:val="24"/>
        </w:rPr>
        <w:t>Создание новейших образцов авиационно-космической техники связано с решением проблем снижения массы лета</w:t>
      </w:r>
      <w:r>
        <w:rPr>
          <w:szCs w:val="24"/>
        </w:rPr>
        <w:t>тельных аппаратов,</w:t>
      </w:r>
      <w:r w:rsidRPr="007A5DF6">
        <w:rPr>
          <w:szCs w:val="24"/>
        </w:rPr>
        <w:t xml:space="preserve"> повышения их эксплуатационных характеристик</w:t>
      </w:r>
      <w:r>
        <w:rPr>
          <w:szCs w:val="24"/>
        </w:rPr>
        <w:t xml:space="preserve"> и надежности</w:t>
      </w:r>
      <w:r w:rsidRPr="007A5DF6">
        <w:rPr>
          <w:szCs w:val="24"/>
        </w:rPr>
        <w:t>, а также изготовления эффективных систем звукопоглощения, охлаждения (или обогрева), бронезащиты их узлов и т.д. Эти проблемы могут во многом быть решены использованием для изготовления элементов планера летательных аппаратов и узлов их двигателей из титановых композиционных слоистых мате</w:t>
      </w:r>
      <w:r>
        <w:rPr>
          <w:szCs w:val="24"/>
        </w:rPr>
        <w:t>риалов</w:t>
      </w:r>
      <w:r w:rsidRPr="007A5DF6">
        <w:rPr>
          <w:szCs w:val="24"/>
        </w:rPr>
        <w:t xml:space="preserve">, которые характеризуются высокой удельной прочностью в области температур до 500 </w:t>
      </w:r>
      <w:r w:rsidRPr="007A5DF6">
        <w:rPr>
          <w:color w:val="000000"/>
          <w:szCs w:val="24"/>
        </w:rPr>
        <w:t>°С</w:t>
      </w:r>
      <w:r w:rsidRPr="007A5DF6">
        <w:rPr>
          <w:szCs w:val="24"/>
        </w:rPr>
        <w:t xml:space="preserve"> и коррозионной стойкостью во многи</w:t>
      </w:r>
      <w:r w:rsidR="00B004BF">
        <w:rPr>
          <w:szCs w:val="24"/>
        </w:rPr>
        <w:t>х агрессивных средах [1,2</w:t>
      </w:r>
      <w:r w:rsidRPr="007A5DF6">
        <w:rPr>
          <w:szCs w:val="24"/>
        </w:rPr>
        <w:t>].</w:t>
      </w:r>
    </w:p>
    <w:p w:rsidR="00541A33" w:rsidRDefault="00541A33" w:rsidP="00C362B9">
      <w:pPr>
        <w:ind w:firstLine="720"/>
        <w:rPr>
          <w:szCs w:val="24"/>
        </w:rPr>
      </w:pPr>
      <w:r w:rsidRPr="007A5DF6">
        <w:rPr>
          <w:szCs w:val="24"/>
        </w:rPr>
        <w:t xml:space="preserve">Композиционные слоистые материалы представляют собой сочетание несущих слоев с заполнителем. Тонкостенные слоистые конструкции, изготавливаемые из этих материалов, это в большинстве случаев, конструкции большой протяженности с развитой поверхностью контактирования несущих слоев с заполнителем и представляющие собой сочетание повторяющихся однотипных соединений простейшей формы с малым сечением элементов. Такие конструкции могут иметь одно- и двухсторонние несущие слои, быть двухслойными и многослойными, плоскими </w:t>
      </w:r>
      <w:r w:rsidR="00A45C74">
        <w:rPr>
          <w:szCs w:val="24"/>
        </w:rPr>
        <w:t>и иметь кривизну (рис. 1)</w:t>
      </w:r>
      <w:r w:rsidRPr="007A5DF6">
        <w:rPr>
          <w:szCs w:val="24"/>
        </w:rPr>
        <w:t>.</w:t>
      </w:r>
    </w:p>
    <w:p w:rsidR="00541A33" w:rsidRPr="007A5DF6" w:rsidRDefault="0085201E" w:rsidP="00541A33">
      <w:pPr>
        <w:jc w:val="center"/>
        <w:rPr>
          <w:szCs w:val="24"/>
        </w:rPr>
      </w:pPr>
      <w:r>
        <w:rPr>
          <w:noProof/>
          <w:szCs w:val="24"/>
          <w:lang w:eastAsia="ru-RU"/>
        </w:rPr>
        <w:lastRenderedPageBreak/>
        <w:drawing>
          <wp:inline distT="0" distB="0" distL="0" distR="0">
            <wp:extent cx="4968000" cy="3447404"/>
            <wp:effectExtent l="19050" t="0" r="4050" b="0"/>
            <wp:docPr id="6" name="Рисунок 5" descr="рис 1_1 а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1_1 а.TIF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8000" cy="3447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1A33" w:rsidRPr="007A5DF6" w:rsidRDefault="00541A33" w:rsidP="00541A33">
      <w:pPr>
        <w:jc w:val="center"/>
        <w:rPr>
          <w:szCs w:val="24"/>
        </w:rPr>
      </w:pPr>
      <w:r w:rsidRPr="007A5DF6">
        <w:rPr>
          <w:noProof/>
          <w:szCs w:val="24"/>
          <w:lang w:eastAsia="ru-RU"/>
        </w:rPr>
        <w:drawing>
          <wp:inline distT="0" distB="0" distL="0" distR="0">
            <wp:extent cx="1043305" cy="1107440"/>
            <wp:effectExtent l="19050" t="0" r="4445" b="0"/>
            <wp:docPr id="3" name="Рисунок 3" descr="рис 1_1 турби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рис 1_1 турбина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305" cy="1107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DF6">
        <w:rPr>
          <w:szCs w:val="24"/>
        </w:rPr>
        <w:t xml:space="preserve">      </w:t>
      </w:r>
      <w:r w:rsidR="002F5469">
        <w:rPr>
          <w:noProof/>
          <w:szCs w:val="24"/>
          <w:lang w:eastAsia="ru-RU"/>
        </w:rPr>
        <w:drawing>
          <wp:inline distT="0" distB="0" distL="0" distR="0">
            <wp:extent cx="1440000" cy="1462135"/>
            <wp:effectExtent l="19050" t="0" r="7800" b="0"/>
            <wp:docPr id="2" name="Рисунок 1" descr="рис 1_1 оболочка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1_1 оболочка.T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6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1A33" w:rsidRPr="000C6EB6" w:rsidRDefault="00541A33" w:rsidP="00541A33">
      <w:pPr>
        <w:jc w:val="center"/>
        <w:rPr>
          <w:sz w:val="24"/>
          <w:szCs w:val="28"/>
        </w:rPr>
      </w:pPr>
      <w:r w:rsidRPr="000C6EB6">
        <w:rPr>
          <w:sz w:val="24"/>
          <w:szCs w:val="28"/>
        </w:rPr>
        <w:t>Рис. 1.  Тонкостенные слоистые конструкции</w:t>
      </w:r>
    </w:p>
    <w:p w:rsidR="000C6EB6" w:rsidRDefault="000C6EB6" w:rsidP="00407AF4">
      <w:pPr>
        <w:ind w:firstLine="720"/>
        <w:rPr>
          <w:szCs w:val="24"/>
        </w:rPr>
      </w:pPr>
    </w:p>
    <w:p w:rsidR="00541A33" w:rsidRPr="007A5DF6" w:rsidRDefault="00541A33" w:rsidP="00407AF4">
      <w:pPr>
        <w:ind w:firstLine="720"/>
        <w:rPr>
          <w:szCs w:val="24"/>
        </w:rPr>
      </w:pPr>
      <w:r w:rsidRPr="007A5DF6">
        <w:rPr>
          <w:szCs w:val="24"/>
        </w:rPr>
        <w:t>Типичными представителями этого класса конструкций являются звукопоглощающие кожухи (ЗПК) авиационных двигателей, сопла жидкостных реактивных двигателей (ЖРД), элементы мотогондолы самолета ТУ-160, крылья ракет земля-воздух, втулки несущего винта вертолета</w:t>
      </w:r>
      <w:r>
        <w:rPr>
          <w:szCs w:val="24"/>
        </w:rPr>
        <w:t>, выпускные окна ускорителей электронов, крыльчат</w:t>
      </w:r>
      <w:r w:rsidR="00B004BF">
        <w:rPr>
          <w:szCs w:val="24"/>
        </w:rPr>
        <w:t>ки турбонасосных агрегатов</w:t>
      </w:r>
      <w:r w:rsidRPr="007A5DF6">
        <w:rPr>
          <w:szCs w:val="24"/>
        </w:rPr>
        <w:t xml:space="preserve"> и т.д.</w:t>
      </w:r>
    </w:p>
    <w:p w:rsidR="00541A33" w:rsidRPr="007A5DF6" w:rsidRDefault="00541A33" w:rsidP="00407AF4">
      <w:pPr>
        <w:ind w:firstLine="720"/>
        <w:rPr>
          <w:szCs w:val="24"/>
        </w:rPr>
      </w:pPr>
      <w:r w:rsidRPr="007A5DF6">
        <w:rPr>
          <w:szCs w:val="24"/>
        </w:rPr>
        <w:t>Исключительно важная роль в создании конструкций из композиционных титановых слоистых материалов принадлежит способу соединения между соб</w:t>
      </w:r>
      <w:r>
        <w:rPr>
          <w:szCs w:val="24"/>
        </w:rPr>
        <w:t>ой элементов этих материалов</w:t>
      </w:r>
      <w:r w:rsidRPr="007A5DF6">
        <w:rPr>
          <w:szCs w:val="24"/>
        </w:rPr>
        <w:t xml:space="preserve">. Основным требованием, предъявляемым к процессу соединения, является </w:t>
      </w:r>
      <w:r w:rsidRPr="007A5DF6">
        <w:rPr>
          <w:szCs w:val="24"/>
        </w:rPr>
        <w:lastRenderedPageBreak/>
        <w:t>обеспечение высокой прочности и надежности соединяемых тонкостенных элементов (заполнителя с несущими слоями) без потери их устойчивости.</w:t>
      </w:r>
    </w:p>
    <w:p w:rsidR="00A45C74" w:rsidRDefault="00A45C74" w:rsidP="00407AF4">
      <w:pPr>
        <w:ind w:firstLine="720"/>
        <w:rPr>
          <w:szCs w:val="24"/>
        </w:rPr>
      </w:pPr>
      <w:r>
        <w:rPr>
          <w:szCs w:val="24"/>
        </w:rPr>
        <w:t>Звукопоглощающая конструкция (конус стекателя двигателя) состоит из перфорированной и сплошной обшивок, между которыми расположен сотовый заполнитель.</w:t>
      </w:r>
    </w:p>
    <w:p w:rsidR="00820A47" w:rsidRPr="007A5DF6" w:rsidRDefault="00820A47" w:rsidP="00407AF4">
      <w:pPr>
        <w:ind w:firstLine="720"/>
        <w:rPr>
          <w:szCs w:val="24"/>
        </w:rPr>
      </w:pPr>
      <w:r w:rsidRPr="007A5DF6">
        <w:rPr>
          <w:szCs w:val="24"/>
        </w:rPr>
        <w:t>Соединение перфорированной и сплошной обшивок с сотовым заполнителем в настоящее время осуществляется контактной роликовой сваркой через отбортовку заполнителя по периметру ячейки.</w:t>
      </w:r>
    </w:p>
    <w:p w:rsidR="00541A33" w:rsidRDefault="00820A47" w:rsidP="00407AF4">
      <w:pPr>
        <w:ind w:firstLine="720"/>
      </w:pPr>
      <w:r w:rsidRPr="007A5DF6">
        <w:rPr>
          <w:szCs w:val="24"/>
        </w:rPr>
        <w:t xml:space="preserve">Полученным таким образом плоским панелям придают требуемую форму методом гибки с растяжением. Формообразование изгибом с растяжением осуществляется на гибочно-растяжных прессах с программным управлением. Возможности </w:t>
      </w:r>
      <w:r>
        <w:rPr>
          <w:szCs w:val="24"/>
        </w:rPr>
        <w:t>де</w:t>
      </w:r>
      <w:r w:rsidRPr="007A5DF6">
        <w:rPr>
          <w:szCs w:val="24"/>
        </w:rPr>
        <w:t>форма</w:t>
      </w:r>
      <w:r>
        <w:rPr>
          <w:szCs w:val="24"/>
        </w:rPr>
        <w:t>ции</w:t>
      </w:r>
      <w:r w:rsidRPr="007A5DF6">
        <w:rPr>
          <w:szCs w:val="24"/>
        </w:rPr>
        <w:t xml:space="preserve"> таких трехслойных панелей </w:t>
      </w:r>
      <w:r>
        <w:rPr>
          <w:szCs w:val="24"/>
        </w:rPr>
        <w:t xml:space="preserve">и их эксплуатационные свойства </w:t>
      </w:r>
      <w:r w:rsidRPr="007A5DF6">
        <w:rPr>
          <w:szCs w:val="24"/>
        </w:rPr>
        <w:t>во многом зависят от прочности соединения обшивок с заполнителем</w:t>
      </w:r>
      <w:r>
        <w:rPr>
          <w:szCs w:val="24"/>
        </w:rPr>
        <w:t>, которая при испытании на отрыв не превышает 80 МПа</w:t>
      </w:r>
      <w:r w:rsidRPr="007A5DF6">
        <w:rPr>
          <w:szCs w:val="24"/>
        </w:rPr>
        <w:t>.</w:t>
      </w:r>
    </w:p>
    <w:p w:rsidR="00541A33" w:rsidRDefault="00541A33" w:rsidP="00407AF4">
      <w:pPr>
        <w:ind w:firstLine="720"/>
      </w:pPr>
      <w:r w:rsidRPr="007A5DF6">
        <w:rPr>
          <w:szCs w:val="24"/>
        </w:rPr>
        <w:t>Большими потенциальными возможностями для создания титановых тонкостенных слоистых конструкций обладает диффузионная сварка [</w:t>
      </w:r>
      <w:r w:rsidR="00B004BF">
        <w:rPr>
          <w:szCs w:val="24"/>
        </w:rPr>
        <w:t>1,2</w:t>
      </w:r>
      <w:r w:rsidRPr="007A5DF6">
        <w:rPr>
          <w:szCs w:val="24"/>
        </w:rPr>
        <w:t xml:space="preserve">]. Диффузионно-сварные плоские титановые трехслойные конструкции с сотовым заполнителем из фольги </w:t>
      </w:r>
      <w:r w:rsidR="00A45C74">
        <w:rPr>
          <w:szCs w:val="24"/>
        </w:rPr>
        <w:t>толщиной 0,08 мм</w:t>
      </w:r>
      <w:r w:rsidRPr="007A5DF6">
        <w:rPr>
          <w:szCs w:val="24"/>
        </w:rPr>
        <w:t xml:space="preserve"> были использованы в конструкции мотогондолы бомбардировщи</w:t>
      </w:r>
      <w:r>
        <w:rPr>
          <w:szCs w:val="24"/>
        </w:rPr>
        <w:t>ка ТУ-160</w:t>
      </w:r>
      <w:r w:rsidRPr="007A5DF6">
        <w:rPr>
          <w:szCs w:val="24"/>
        </w:rPr>
        <w:t xml:space="preserve">. Испытания этих конструкций показало, что прочность диффузионно-сварного соединения обшивки с заполнителем на </w:t>
      </w:r>
      <w:r>
        <w:rPr>
          <w:szCs w:val="24"/>
        </w:rPr>
        <w:t xml:space="preserve">  </w:t>
      </w:r>
      <w:r w:rsidRPr="007A5DF6">
        <w:rPr>
          <w:szCs w:val="24"/>
        </w:rPr>
        <w:t>отрыв достигало 600-700 МПа, что во много раз превышает прочность соединений, полученных контактной сваркой. О характере разрушения диффузионного соединения после испытания на отрыв можно судить по</w:t>
      </w:r>
      <w:r>
        <w:rPr>
          <w:szCs w:val="24"/>
        </w:rPr>
        <w:t xml:space="preserve"> данным, приведенным на рис. 2</w:t>
      </w:r>
      <w:r w:rsidRPr="007A5DF6">
        <w:rPr>
          <w:szCs w:val="24"/>
        </w:rPr>
        <w:t>.</w:t>
      </w:r>
    </w:p>
    <w:p w:rsidR="00541A33" w:rsidRDefault="00541A33" w:rsidP="00407AF4">
      <w:pPr>
        <w:jc w:val="center"/>
      </w:pPr>
      <w:r w:rsidRPr="00541A33">
        <w:rPr>
          <w:noProof/>
          <w:lang w:eastAsia="ru-RU"/>
        </w:rPr>
        <w:lastRenderedPageBreak/>
        <w:drawing>
          <wp:inline distT="0" distB="0" distL="0" distR="0">
            <wp:extent cx="3924000" cy="2879540"/>
            <wp:effectExtent l="19050" t="0" r="300" b="0"/>
            <wp:docPr id="5" name="Рисунок 10" descr="рис 1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рис 1_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000" cy="2879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1A33" w:rsidRPr="000C6EB6" w:rsidRDefault="00541A33" w:rsidP="00407AF4">
      <w:pPr>
        <w:jc w:val="center"/>
        <w:rPr>
          <w:sz w:val="24"/>
        </w:rPr>
      </w:pPr>
      <w:r w:rsidRPr="000C6EB6">
        <w:rPr>
          <w:sz w:val="24"/>
        </w:rPr>
        <w:t>Рис. 2. Характер разрушения трехслойной конструкции, полученной диффузионной сваркой после испытания на отрыв</w:t>
      </w:r>
    </w:p>
    <w:p w:rsidR="00541A33" w:rsidRPr="00407AF4" w:rsidRDefault="00541A33" w:rsidP="00407AF4">
      <w:pPr>
        <w:ind w:firstLine="720"/>
      </w:pPr>
    </w:p>
    <w:p w:rsidR="000F39B9" w:rsidRPr="00407AF4" w:rsidRDefault="000F39B9" w:rsidP="00407AF4">
      <w:pPr>
        <w:ind w:firstLine="720"/>
        <w:rPr>
          <w:szCs w:val="24"/>
        </w:rPr>
      </w:pPr>
      <w:r w:rsidRPr="00407AF4">
        <w:rPr>
          <w:szCs w:val="24"/>
        </w:rPr>
        <w:t>Одним из основных элементов ЖРД является сопло, представляющее собой двухслойную оболочковую конструкцию, состоящую из внутренней оболочки с оребренной стенкой и гладкой наружной оболочки. Коаксиально собранные оболочки в контакте образуют тракты охлаждения.</w:t>
      </w:r>
    </w:p>
    <w:p w:rsidR="000F39B9" w:rsidRPr="00407AF4" w:rsidRDefault="000F39B9" w:rsidP="00407AF4">
      <w:pPr>
        <w:ind w:firstLine="720"/>
        <w:rPr>
          <w:szCs w:val="24"/>
        </w:rPr>
      </w:pPr>
      <w:r w:rsidRPr="00407AF4">
        <w:rPr>
          <w:szCs w:val="24"/>
        </w:rPr>
        <w:t xml:space="preserve">Оболочки выполняют из листового титанового сплава путем совместной штамповки и термофиксации конусных сварных заготовок. Внутреннюю оболочку формуют из листа толщиной </w:t>
      </w:r>
      <w:smartTag w:uri="urn:schemas-microsoft-com:office:smarttags" w:element="metricconverter">
        <w:smartTagPr>
          <w:attr w:name="ProductID" w:val="3 мм"/>
        </w:smartTagPr>
        <w:r w:rsidRPr="00407AF4">
          <w:rPr>
            <w:szCs w:val="24"/>
          </w:rPr>
          <w:t>3 мм</w:t>
        </w:r>
      </w:smartTag>
      <w:r w:rsidRPr="00407AF4">
        <w:rPr>
          <w:szCs w:val="24"/>
        </w:rPr>
        <w:t xml:space="preserve">, а наружную из листа толщиной </w:t>
      </w:r>
      <w:smartTag w:uri="urn:schemas-microsoft-com:office:smarttags" w:element="metricconverter">
        <w:smartTagPr>
          <w:attr w:name="ProductID" w:val="0,8 мм"/>
        </w:smartTagPr>
        <w:r w:rsidRPr="00407AF4">
          <w:rPr>
            <w:szCs w:val="24"/>
          </w:rPr>
          <w:t>0,8 мм</w:t>
        </w:r>
      </w:smartTag>
      <w:r w:rsidRPr="00407AF4">
        <w:rPr>
          <w:szCs w:val="24"/>
        </w:rPr>
        <w:t>. Ребра на внешней поверхности оболочки изготавливают фрезерованием, при этом толщина ребра не превышает 1 мм, а расстояние между ними составляет 4 мм.</w:t>
      </w:r>
    </w:p>
    <w:p w:rsidR="00541A33" w:rsidRPr="00407AF4" w:rsidRDefault="000F39B9" w:rsidP="00407AF4">
      <w:pPr>
        <w:ind w:firstLine="720"/>
      </w:pPr>
      <w:r w:rsidRPr="00407AF4">
        <w:t xml:space="preserve">Для соединения оболочек между собой </w:t>
      </w:r>
      <w:r w:rsidRPr="00407AF4">
        <w:rPr>
          <w:szCs w:val="24"/>
        </w:rPr>
        <w:t>между собой применяется, например, капиллярная диффузионная пайка, при которой припои образуются в результате контактно-реактивного плавления паяемого металла с тонкими прослойками депрессантов, наносимы</w:t>
      </w:r>
      <w:r w:rsidR="00B004BF">
        <w:rPr>
          <w:szCs w:val="24"/>
        </w:rPr>
        <w:t>х на соединяемые поверхности [1</w:t>
      </w:r>
      <w:r w:rsidRPr="00407AF4">
        <w:rPr>
          <w:szCs w:val="24"/>
        </w:rPr>
        <w:t>].</w:t>
      </w:r>
    </w:p>
    <w:p w:rsidR="000F39B9" w:rsidRPr="00407AF4" w:rsidRDefault="000F39B9" w:rsidP="00A45C74">
      <w:pPr>
        <w:ind w:firstLine="720"/>
        <w:rPr>
          <w:szCs w:val="24"/>
        </w:rPr>
      </w:pPr>
      <w:r w:rsidRPr="00407AF4">
        <w:rPr>
          <w:szCs w:val="24"/>
        </w:rPr>
        <w:lastRenderedPageBreak/>
        <w:t>Для пайки рассматриваемых узлов используют вакуумно-компрессионные агрегаты (ВКА) с радиационным нагревом, автоматизированным управлением температурно-временными параметрами пайки и вращением паяемого узла вокруг  горизонтальной оси (чтобы припой равномерно распределялся по всей поверхности. Поджатие соединяемых поверхностей осуществляется за счет перепада давления газа в межоболочковой полости сопла и камере печи (или дополнительного контейнера).</w:t>
      </w:r>
    </w:p>
    <w:p w:rsidR="000F39B9" w:rsidRPr="00407AF4" w:rsidRDefault="000F39B9" w:rsidP="00A45C74">
      <w:pPr>
        <w:ind w:firstLine="720"/>
        <w:rPr>
          <w:szCs w:val="24"/>
        </w:rPr>
      </w:pPr>
      <w:r w:rsidRPr="00407AF4">
        <w:rPr>
          <w:szCs w:val="24"/>
        </w:rPr>
        <w:t>Контроль качества пайки оболочек производится опрессовкой водой внутренней полости теплообменника до заданного давления и последующим проливом для выявления запаев каналов межоболочковой полости.</w:t>
      </w:r>
    </w:p>
    <w:p w:rsidR="000F39B9" w:rsidRPr="00407AF4" w:rsidRDefault="000F39B9" w:rsidP="00A45C74">
      <w:pPr>
        <w:ind w:firstLine="720"/>
        <w:rPr>
          <w:szCs w:val="24"/>
        </w:rPr>
      </w:pPr>
      <w:r w:rsidRPr="00407AF4">
        <w:rPr>
          <w:szCs w:val="24"/>
        </w:rPr>
        <w:t>Результаты испытаний изделий обнаруживают ряд недостатков соединений, полученных пайкой, основным из которых являются следующие:</w:t>
      </w:r>
    </w:p>
    <w:p w:rsidR="000F39B9" w:rsidRPr="00407AF4" w:rsidRDefault="000F39B9" w:rsidP="00407AF4">
      <w:pPr>
        <w:ind w:firstLine="720"/>
        <w:rPr>
          <w:szCs w:val="24"/>
        </w:rPr>
      </w:pPr>
      <w:r w:rsidRPr="00407AF4">
        <w:rPr>
          <w:szCs w:val="24"/>
        </w:rPr>
        <w:t>– образование в зоне соединений хрупкой фазы с повышенной микротрердостью и наличие непропаев;</w:t>
      </w:r>
    </w:p>
    <w:p w:rsidR="000F39B9" w:rsidRPr="00407AF4" w:rsidRDefault="000F39B9" w:rsidP="00407AF4">
      <w:pPr>
        <w:ind w:firstLine="720"/>
        <w:rPr>
          <w:szCs w:val="24"/>
        </w:rPr>
      </w:pPr>
      <w:r w:rsidRPr="00407AF4">
        <w:rPr>
          <w:szCs w:val="24"/>
        </w:rPr>
        <w:t>– при контрольно-выборочных</w:t>
      </w:r>
      <w:r w:rsidR="00A45C74">
        <w:rPr>
          <w:szCs w:val="24"/>
        </w:rPr>
        <w:t xml:space="preserve"> испытаниях до разрушения </w:t>
      </w:r>
      <w:r w:rsidRPr="00407AF4">
        <w:rPr>
          <w:szCs w:val="24"/>
        </w:rPr>
        <w:t>узел всегда разрушается по поверхностям контакта, соединенным пайкой, с образованием зоны разрушения площадью до 10</w:t>
      </w:r>
      <w:r w:rsidRPr="00407AF4">
        <w:rPr>
          <w:szCs w:val="24"/>
          <w:vertAlign w:val="superscript"/>
        </w:rPr>
        <w:t>4</w:t>
      </w:r>
      <w:r w:rsidRPr="00407AF4">
        <w:rPr>
          <w:szCs w:val="24"/>
        </w:rPr>
        <w:t xml:space="preserve"> мм</w:t>
      </w:r>
      <w:r w:rsidRPr="00407AF4">
        <w:rPr>
          <w:szCs w:val="24"/>
          <w:vertAlign w:val="superscript"/>
        </w:rPr>
        <w:t>2</w:t>
      </w:r>
      <w:r w:rsidRPr="00407AF4">
        <w:rPr>
          <w:szCs w:val="24"/>
        </w:rPr>
        <w:t xml:space="preserve"> и более;</w:t>
      </w:r>
    </w:p>
    <w:p w:rsidR="000F39B9" w:rsidRPr="00407AF4" w:rsidRDefault="000F39B9" w:rsidP="00407AF4">
      <w:pPr>
        <w:ind w:firstLine="720"/>
        <w:rPr>
          <w:szCs w:val="24"/>
        </w:rPr>
      </w:pPr>
      <w:r w:rsidRPr="00407AF4">
        <w:rPr>
          <w:szCs w:val="24"/>
        </w:rPr>
        <w:t>– при многократном нагружении узла давление, при котором происходило его разрушении, снижалось до 8…21 МПа. Основной причиной снижения прочности соединения являлось зарождение и накопление микротрещин в местах образования интерметаллидных прослоек;</w:t>
      </w:r>
    </w:p>
    <w:p w:rsidR="000F39B9" w:rsidRPr="00407AF4" w:rsidRDefault="000F39B9" w:rsidP="00407AF4">
      <w:pPr>
        <w:ind w:firstLine="720"/>
        <w:rPr>
          <w:szCs w:val="24"/>
        </w:rPr>
      </w:pPr>
      <w:r w:rsidRPr="00407AF4">
        <w:rPr>
          <w:szCs w:val="24"/>
        </w:rPr>
        <w:t>– после пайки возможны осаждения и запаи каналов межоболочковой полости, что приводит к нарушению теплового режима при работе узла и выходу его из строя.</w:t>
      </w:r>
    </w:p>
    <w:p w:rsidR="00541A33" w:rsidRPr="00407AF4" w:rsidRDefault="000F39B9" w:rsidP="00407AF4">
      <w:pPr>
        <w:ind w:firstLine="720"/>
      </w:pPr>
      <w:r w:rsidRPr="00407AF4">
        <w:rPr>
          <w:szCs w:val="24"/>
        </w:rPr>
        <w:lastRenderedPageBreak/>
        <w:t>Проведенные и</w:t>
      </w:r>
      <w:r w:rsidR="00A45C74">
        <w:rPr>
          <w:szCs w:val="24"/>
        </w:rPr>
        <w:t>сследов</w:t>
      </w:r>
      <w:r w:rsidRPr="00407AF4">
        <w:rPr>
          <w:szCs w:val="24"/>
        </w:rPr>
        <w:t>ания показали, что диффузионная сварка обеспечивает получение более качественных соединений по сравнению с пайкой.</w:t>
      </w:r>
    </w:p>
    <w:p w:rsidR="00541A33" w:rsidRPr="00407AF4" w:rsidRDefault="000F39B9" w:rsidP="00407AF4">
      <w:pPr>
        <w:ind w:firstLine="720"/>
      </w:pPr>
      <w:r w:rsidRPr="00407AF4">
        <w:t>Разрушение конструкции при гидроопрессовке происходило при давлении 80-100 МПа. Типичные микроструктуры зон соединения и виды разрушения диффузионно-сварной конструкции приведены на рис. 3, а, б.</w:t>
      </w:r>
    </w:p>
    <w:p w:rsidR="00541A33" w:rsidRDefault="000F39B9" w:rsidP="00407AF4">
      <w:pPr>
        <w:jc w:val="center"/>
      </w:pPr>
      <w:r w:rsidRPr="000F39B9">
        <w:rPr>
          <w:noProof/>
          <w:lang w:eastAsia="ru-RU"/>
        </w:rPr>
        <w:drawing>
          <wp:inline distT="0" distB="0" distL="0" distR="0">
            <wp:extent cx="4320000" cy="1854823"/>
            <wp:effectExtent l="19050" t="0" r="4350" b="0"/>
            <wp:docPr id="44" name="Рисунок 35" descr="рис 4_15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4_15а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854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39B9" w:rsidRDefault="000F39B9" w:rsidP="00407AF4">
      <w:pPr>
        <w:jc w:val="center"/>
      </w:pPr>
      <w:r>
        <w:t>а</w:t>
      </w:r>
    </w:p>
    <w:p w:rsidR="000F39B9" w:rsidRDefault="000F39B9" w:rsidP="00407AF4">
      <w:pPr>
        <w:jc w:val="center"/>
      </w:pPr>
      <w:r w:rsidRPr="000F39B9">
        <w:rPr>
          <w:noProof/>
          <w:lang w:eastAsia="ru-RU"/>
        </w:rPr>
        <w:drawing>
          <wp:inline distT="0" distB="0" distL="0" distR="0">
            <wp:extent cx="3600000" cy="3757727"/>
            <wp:effectExtent l="19050" t="0" r="450" b="0"/>
            <wp:docPr id="34" name="Рисунок 22" descr="рис 4_8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4_8б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757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39B9" w:rsidRDefault="000F39B9" w:rsidP="00407AF4">
      <w:pPr>
        <w:jc w:val="center"/>
      </w:pPr>
      <w:r>
        <w:t>б</w:t>
      </w:r>
    </w:p>
    <w:p w:rsidR="000F39B9" w:rsidRPr="000C6EB6" w:rsidRDefault="000F39B9" w:rsidP="000F39B9">
      <w:pPr>
        <w:jc w:val="center"/>
        <w:rPr>
          <w:rFonts w:cs="Times New Roman"/>
          <w:sz w:val="24"/>
          <w:szCs w:val="28"/>
        </w:rPr>
      </w:pPr>
      <w:r w:rsidRPr="000C6EB6">
        <w:rPr>
          <w:rFonts w:cs="Times New Roman"/>
          <w:sz w:val="24"/>
          <w:szCs w:val="28"/>
        </w:rPr>
        <w:t>Рис. 3. Микроструктура зоны соединения (а</w:t>
      </w:r>
      <w:r w:rsidR="000778EF" w:rsidRPr="000C6EB6">
        <w:rPr>
          <w:rFonts w:cs="Times New Roman"/>
          <w:sz w:val="24"/>
          <w:szCs w:val="28"/>
        </w:rPr>
        <w:t xml:space="preserve"> ×40</w:t>
      </w:r>
      <w:r w:rsidRPr="000C6EB6">
        <w:rPr>
          <w:rFonts w:cs="Times New Roman"/>
          <w:sz w:val="24"/>
          <w:szCs w:val="28"/>
        </w:rPr>
        <w:t xml:space="preserve">) и характер разрушения диффузионно-сварной </w:t>
      </w:r>
      <w:r w:rsidR="000778EF" w:rsidRPr="000C6EB6">
        <w:rPr>
          <w:rFonts w:cs="Times New Roman"/>
          <w:sz w:val="24"/>
          <w:szCs w:val="28"/>
        </w:rPr>
        <w:t>конструкции после гидроопрессовки (б</w:t>
      </w:r>
      <w:r w:rsidRPr="000C6EB6">
        <w:rPr>
          <w:rFonts w:cs="Times New Roman"/>
          <w:sz w:val="24"/>
          <w:szCs w:val="28"/>
        </w:rPr>
        <w:t xml:space="preserve"> ×135</w:t>
      </w:r>
      <w:r w:rsidR="000778EF" w:rsidRPr="000C6EB6">
        <w:rPr>
          <w:rFonts w:cs="Times New Roman"/>
          <w:sz w:val="24"/>
          <w:szCs w:val="28"/>
        </w:rPr>
        <w:t>)</w:t>
      </w:r>
    </w:p>
    <w:p w:rsidR="00407AF4" w:rsidRPr="00C362B9" w:rsidRDefault="00407AF4" w:rsidP="00C362B9">
      <w:pPr>
        <w:ind w:firstLine="720"/>
        <w:rPr>
          <w:szCs w:val="24"/>
        </w:rPr>
      </w:pPr>
      <w:r w:rsidRPr="00C362B9">
        <w:rPr>
          <w:rStyle w:val="txt"/>
          <w:szCs w:val="24"/>
        </w:rPr>
        <w:lastRenderedPageBreak/>
        <w:t>При использовании ускорителей электронов в современных технологиях  с выводом пучка ускоренных электронов в атмосферу или в газ повышенного давления используют выпускное окно</w:t>
      </w:r>
      <w:r w:rsidRPr="00C362B9">
        <w:rPr>
          <w:i/>
          <w:szCs w:val="24"/>
        </w:rPr>
        <w:t>,</w:t>
      </w:r>
      <w:r w:rsidRPr="00C362B9">
        <w:rPr>
          <w:szCs w:val="24"/>
        </w:rPr>
        <w:t xml:space="preserve"> состоящее из тонкой фольги, вакуумно-плотно закрепленной между опорными </w:t>
      </w:r>
      <w:r w:rsidR="00B004BF">
        <w:rPr>
          <w:szCs w:val="24"/>
        </w:rPr>
        <w:t>решетками [2</w:t>
      </w:r>
      <w:r w:rsidRPr="00C362B9">
        <w:rPr>
          <w:szCs w:val="24"/>
        </w:rPr>
        <w:t>].</w:t>
      </w:r>
    </w:p>
    <w:p w:rsidR="00407AF4" w:rsidRPr="00C362B9" w:rsidRDefault="00407AF4" w:rsidP="00C362B9">
      <w:pPr>
        <w:ind w:firstLine="720"/>
        <w:rPr>
          <w:szCs w:val="24"/>
        </w:rPr>
      </w:pPr>
      <w:r w:rsidRPr="00C362B9">
        <w:rPr>
          <w:szCs w:val="24"/>
        </w:rPr>
        <w:t xml:space="preserve">Материал и геометрические параметры фольги должны обеспечивать прозрачность окна для высокоэнергетичного электронного пучка и представлять физический барьер, отделяющий рабочую среду от окружающей атмосферы, а также обеспечивать  наибольшую устойчивость к действию электронной бомбардировки, достаточную прочность и выносливость. </w:t>
      </w:r>
    </w:p>
    <w:p w:rsidR="000F39B9" w:rsidRPr="00C362B9" w:rsidRDefault="00407AF4" w:rsidP="00C362B9">
      <w:pPr>
        <w:ind w:firstLine="720"/>
      </w:pPr>
      <w:r w:rsidRPr="00C362B9">
        <w:rPr>
          <w:szCs w:val="24"/>
        </w:rPr>
        <w:t xml:space="preserve">Этим требованиям отвечает фольга из титана. Согласно расчетным данным фольга из титана толщиной 50 мкм для электрона с </w:t>
      </w:r>
      <w:r w:rsidRPr="00C362B9">
        <w:rPr>
          <w:i/>
          <w:szCs w:val="24"/>
        </w:rPr>
        <w:t>Е</w:t>
      </w:r>
      <w:r w:rsidRPr="00C362B9">
        <w:rPr>
          <w:i/>
          <w:szCs w:val="24"/>
          <w:vertAlign w:val="subscript"/>
        </w:rPr>
        <w:t>к</w:t>
      </w:r>
      <w:r w:rsidRPr="00C362B9">
        <w:rPr>
          <w:szCs w:val="24"/>
        </w:rPr>
        <w:t>=511кэВ имеет прозрачность около 90 %.</w:t>
      </w:r>
    </w:p>
    <w:p w:rsidR="000F39B9" w:rsidRPr="00C362B9" w:rsidRDefault="00407AF4" w:rsidP="00C362B9">
      <w:pPr>
        <w:ind w:firstLine="720"/>
      </w:pPr>
      <w:r w:rsidRPr="00C362B9">
        <w:rPr>
          <w:szCs w:val="24"/>
        </w:rPr>
        <w:t>В конструкциях выпускных окон, как планарных, так и аксиальных, фольгу традиционно закрепляют между опорными решетками механическим путем через резиновые уплотнители</w:t>
      </w:r>
      <w:r w:rsidRPr="00C362B9">
        <w:rPr>
          <w:rStyle w:val="b-serp-urlitem"/>
          <w:szCs w:val="24"/>
        </w:rPr>
        <w:t xml:space="preserve"> </w:t>
      </w:r>
      <w:r w:rsidRPr="00C362B9">
        <w:rPr>
          <w:szCs w:val="24"/>
        </w:rPr>
        <w:t xml:space="preserve"> болтами, винтами, зажимами и т.д., или пайкой. Недостатками такого окна является невысокая надежность соединения фольги с опорной решеткой, низкая теплопроводность, обусловленная наличием резинового уплотнителя.</w:t>
      </w:r>
    </w:p>
    <w:p w:rsidR="000F39B9" w:rsidRPr="00C362B9" w:rsidRDefault="0077004B" w:rsidP="00C362B9">
      <w:pPr>
        <w:ind w:firstLine="720"/>
      </w:pPr>
      <w:r w:rsidRPr="00C362B9">
        <w:t>Перспективным технологическим процессом для создания таких конструкций является диффузионная сварка</w:t>
      </w:r>
      <w:r w:rsidR="00C362B9">
        <w:t>,</w:t>
      </w:r>
      <w:r w:rsidRPr="00C362B9">
        <w:t xml:space="preserve"> которая позволяет соединять детали выпускного окна, обеспечивая требуемый комплекс свойств.</w:t>
      </w:r>
    </w:p>
    <w:p w:rsidR="0077004B" w:rsidRPr="00C362B9" w:rsidRDefault="0077004B" w:rsidP="00C362B9">
      <w:pPr>
        <w:ind w:firstLine="720"/>
      </w:pPr>
      <w:r w:rsidRPr="00C362B9">
        <w:t>Опытный образец элемента трехслойного выпускного окна ускорителя электронов с радиально сходящимся пучком, полученный диффузионной сваркой, приведен на рис. 4.</w:t>
      </w:r>
    </w:p>
    <w:p w:rsidR="0077004B" w:rsidRDefault="00E165A3" w:rsidP="00E165A3">
      <w:pPr>
        <w:jc w:val="center"/>
      </w:pPr>
      <w:r w:rsidRPr="00E165A3">
        <w:rPr>
          <w:noProof/>
          <w:lang w:eastAsia="ru-RU"/>
        </w:rPr>
        <w:lastRenderedPageBreak/>
        <w:drawing>
          <wp:inline distT="0" distB="0" distL="0" distR="0">
            <wp:extent cx="4274809" cy="3444948"/>
            <wp:effectExtent l="19050" t="0" r="0" b="0"/>
            <wp:docPr id="28" name="Рисунок 27" descr="Фото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0013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7806" cy="3455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39B9" w:rsidRPr="000C6EB6" w:rsidRDefault="00E165A3" w:rsidP="00B75A6C">
      <w:pPr>
        <w:jc w:val="center"/>
        <w:rPr>
          <w:sz w:val="24"/>
        </w:rPr>
      </w:pPr>
      <w:r w:rsidRPr="000C6EB6">
        <w:rPr>
          <w:sz w:val="24"/>
        </w:rPr>
        <w:t>Рис. 4. Опытный образец элемента выпускного окна ускорителя электронов</w:t>
      </w:r>
    </w:p>
    <w:p w:rsidR="000C6EB6" w:rsidRDefault="000C6EB6" w:rsidP="00B75A6C">
      <w:pPr>
        <w:ind w:firstLine="426"/>
      </w:pPr>
    </w:p>
    <w:p w:rsidR="000F39B9" w:rsidRDefault="00070EEB" w:rsidP="00B75A6C">
      <w:pPr>
        <w:ind w:firstLine="426"/>
      </w:pPr>
      <w:r>
        <w:t>Эффективным способом повышения в</w:t>
      </w:r>
      <w:r w:rsidR="00B75A6C">
        <w:t>я</w:t>
      </w:r>
      <w:r>
        <w:t>зкости разрушения титан</w:t>
      </w:r>
      <w:r w:rsidR="00B75A6C">
        <w:t>о</w:t>
      </w:r>
      <w:r>
        <w:t>вых конструкций является использование для их создания слоистых микроструктурных композитов, в которых матрицей является сплав с равноосной (мелкозернистой) структурой, а армирующим компонентом – сплав с пластинчатой микроструктурой.</w:t>
      </w:r>
    </w:p>
    <w:p w:rsidR="00B75A6C" w:rsidRDefault="00B75A6C" w:rsidP="009C4F10">
      <w:pPr>
        <w:ind w:firstLine="709"/>
      </w:pPr>
      <w:r>
        <w:t>Перспективным способом получения таких композитов является диффузионная сварка пакетов, набранных в определенной последовательности из листового проката различной толщины с равноосной и пластинчатой структурами</w:t>
      </w:r>
      <w:r w:rsidR="00B004BF">
        <w:t xml:space="preserve"> </w:t>
      </w:r>
      <w:r w:rsidR="00B004BF" w:rsidRPr="00B004BF">
        <w:t>[1]</w:t>
      </w:r>
      <w:r>
        <w:t>.</w:t>
      </w:r>
    </w:p>
    <w:p w:rsidR="00821400" w:rsidRPr="00821400" w:rsidRDefault="00FA6696" w:rsidP="00821400">
      <w:pPr>
        <w:ind w:firstLine="709"/>
        <w:rPr>
          <w:rFonts w:eastAsia="Palatino Linotype" w:cs="Times New Roman"/>
          <w:color w:val="000000"/>
          <w:szCs w:val="28"/>
          <w:lang w:eastAsia="ru-RU"/>
        </w:rPr>
      </w:pPr>
      <w:r>
        <w:rPr>
          <w:rFonts w:eastAsia="Palatino Linotype" w:cs="Times New Roman"/>
          <w:color w:val="000000"/>
          <w:szCs w:val="28"/>
          <w:lang w:eastAsia="ru-RU"/>
        </w:rPr>
        <w:t>Микрос</w:t>
      </w:r>
      <w:r w:rsidR="00821400" w:rsidRPr="00821400">
        <w:rPr>
          <w:rFonts w:eastAsia="Palatino Linotype" w:cs="Times New Roman"/>
          <w:color w:val="000000"/>
          <w:szCs w:val="28"/>
          <w:lang w:eastAsia="ru-RU"/>
        </w:rPr>
        <w:t>труктурное состояние таких композитов может быть оха</w:t>
      </w:r>
      <w:r w:rsidR="00821400" w:rsidRPr="00821400">
        <w:rPr>
          <w:rFonts w:eastAsia="Palatino Linotype" w:cs="Times New Roman"/>
          <w:color w:val="000000"/>
          <w:szCs w:val="28"/>
          <w:lang w:eastAsia="ru-RU"/>
        </w:rPr>
        <w:softHyphen/>
        <w:t xml:space="preserve">рактеризовано параметром </w:t>
      </w:r>
      <w:r w:rsidRPr="00FA6696">
        <w:rPr>
          <w:rFonts w:eastAsia="Palatino Linotype" w:cs="Times New Roman"/>
          <w:i/>
          <w:color w:val="000000"/>
          <w:szCs w:val="28"/>
          <w:lang w:val="en-US" w:eastAsia="ru-RU"/>
        </w:rPr>
        <w:t>V</w:t>
      </w:r>
      <w:r w:rsidR="00821400" w:rsidRPr="00FA6696">
        <w:rPr>
          <w:rFonts w:eastAsia="Palatino Linotype" w:cs="Times New Roman"/>
          <w:i/>
          <w:color w:val="000000"/>
          <w:szCs w:val="28"/>
          <w:vertAlign w:val="subscript"/>
          <w:lang w:eastAsia="ru-RU"/>
        </w:rPr>
        <w:t>пл</w:t>
      </w:r>
      <w:r w:rsidR="00821400" w:rsidRPr="00821400">
        <w:rPr>
          <w:rFonts w:eastAsia="Palatino Linotype" w:cs="Times New Roman"/>
          <w:color w:val="000000"/>
          <w:szCs w:val="28"/>
          <w:lang w:eastAsia="ru-RU"/>
        </w:rPr>
        <w:t>, отражающим процентное содержание пластинчатой структуры в объеме образца.</w:t>
      </w:r>
    </w:p>
    <w:p w:rsidR="00FA6696" w:rsidRDefault="00FA6696" w:rsidP="00FA6696">
      <w:pPr>
        <w:ind w:firstLine="709"/>
        <w:rPr>
          <w:rFonts w:eastAsia="Arial Unicode MS" w:cs="Times New Roman"/>
          <w:color w:val="000000"/>
          <w:szCs w:val="28"/>
          <w:lang w:eastAsia="ru-RU"/>
        </w:rPr>
      </w:pPr>
      <w:r w:rsidRPr="00821400">
        <w:rPr>
          <w:rFonts w:eastAsia="Arial Unicode MS" w:cs="Times New Roman"/>
          <w:color w:val="000000"/>
          <w:szCs w:val="28"/>
          <w:lang w:eastAsia="ru-RU"/>
        </w:rPr>
        <w:t xml:space="preserve">Механические свойства композитов из сплава ОТ4 со слоистой микроструктурой при комнатной температуре оценивали по результатам испытаний на ударную вязкость </w:t>
      </w:r>
      <w:r w:rsidRPr="00FA6696">
        <w:rPr>
          <w:rFonts w:eastAsia="Arial Unicode MS" w:cs="Times New Roman"/>
          <w:i/>
          <w:color w:val="000000"/>
          <w:szCs w:val="28"/>
          <w:lang w:val="en-GB" w:eastAsia="ru-RU"/>
        </w:rPr>
        <w:t>KCV</w:t>
      </w:r>
      <w:r>
        <w:rPr>
          <w:rFonts w:eastAsia="Arial Unicode MS" w:cs="Times New Roman"/>
          <w:color w:val="000000"/>
          <w:szCs w:val="28"/>
          <w:lang w:eastAsia="ru-RU"/>
        </w:rPr>
        <w:t xml:space="preserve"> и </w:t>
      </w:r>
      <w:r w:rsidRPr="00FA6696">
        <w:rPr>
          <w:rFonts w:eastAsia="Arial Unicode MS" w:cs="Times New Roman"/>
          <w:i/>
          <w:color w:val="000000"/>
          <w:szCs w:val="28"/>
          <w:lang w:eastAsia="ru-RU"/>
        </w:rPr>
        <w:t>КСТ</w:t>
      </w:r>
      <w:r w:rsidRPr="00821400">
        <w:rPr>
          <w:rFonts w:eastAsia="Arial Unicode MS" w:cs="Times New Roman"/>
          <w:color w:val="000000"/>
          <w:szCs w:val="28"/>
          <w:lang w:eastAsia="ru-RU"/>
        </w:rPr>
        <w:t xml:space="preserve">. Надрез выполняли в </w:t>
      </w:r>
      <w:r w:rsidRPr="00821400">
        <w:rPr>
          <w:rFonts w:eastAsia="Arial Unicode MS" w:cs="Times New Roman"/>
          <w:color w:val="000000"/>
          <w:szCs w:val="28"/>
          <w:lang w:eastAsia="ru-RU"/>
        </w:rPr>
        <w:lastRenderedPageBreak/>
        <w:t>поперечном (конфигурация торможения трещины) (рис.</w:t>
      </w:r>
      <w:r>
        <w:rPr>
          <w:rFonts w:eastAsia="Arial Unicode MS" w:cs="Times New Roman"/>
          <w:color w:val="000000"/>
          <w:szCs w:val="28"/>
          <w:lang w:eastAsia="ru-RU"/>
        </w:rPr>
        <w:t xml:space="preserve"> 5,</w:t>
      </w:r>
      <w:r w:rsidRPr="00821400">
        <w:rPr>
          <w:rFonts w:eastAsia="Arial Unicode MS" w:cs="Times New Roman"/>
          <w:color w:val="000000"/>
          <w:szCs w:val="28"/>
          <w:lang w:eastAsia="ru-RU"/>
        </w:rPr>
        <w:t xml:space="preserve"> а) и продольном (конфигурация развития трещины) (рис</w:t>
      </w:r>
      <w:r>
        <w:rPr>
          <w:rFonts w:eastAsia="Arial Unicode MS" w:cs="Times New Roman"/>
          <w:color w:val="000000"/>
          <w:szCs w:val="28"/>
          <w:lang w:eastAsia="ru-RU"/>
        </w:rPr>
        <w:t>. 5,</w:t>
      </w:r>
      <w:r w:rsidRPr="00821400">
        <w:rPr>
          <w:rFonts w:eastAsia="Arial Unicode MS" w:cs="Times New Roman"/>
          <w:color w:val="000000"/>
          <w:szCs w:val="28"/>
          <w:lang w:eastAsia="ru-RU"/>
        </w:rPr>
        <w:t xml:space="preserve"> б) направлениях по отношению к структурным слоям.</w:t>
      </w:r>
    </w:p>
    <w:p w:rsidR="00FA6696" w:rsidRDefault="00FA6696" w:rsidP="00FA6696">
      <w:pPr>
        <w:jc w:val="center"/>
        <w:rPr>
          <w:rFonts w:eastAsia="Arial Unicode MS" w:cs="Times New Roman"/>
          <w:color w:val="000000"/>
          <w:szCs w:val="28"/>
          <w:lang w:eastAsia="ru-RU"/>
        </w:rPr>
      </w:pPr>
      <w:r>
        <w:rPr>
          <w:rFonts w:eastAsia="Arial Unicode MS" w:cs="Times New Roman"/>
          <w:noProof/>
          <w:color w:val="000000"/>
          <w:szCs w:val="28"/>
          <w:lang w:eastAsia="ru-RU"/>
        </w:rPr>
        <w:drawing>
          <wp:inline distT="0" distB="0" distL="0" distR="0">
            <wp:extent cx="2834640" cy="737616"/>
            <wp:effectExtent l="19050" t="0" r="3810" b="0"/>
            <wp:docPr id="1" name="Рисунок 0" descr="рис 5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5а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4640" cy="737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A6696">
        <w:rPr>
          <w:rFonts w:eastAsia="Arial Unicode MS" w:cs="Times New Roman"/>
          <w:noProof/>
          <w:color w:val="000000"/>
          <w:szCs w:val="28"/>
          <w:lang w:eastAsia="ru-RU"/>
        </w:rPr>
        <w:drawing>
          <wp:inline distT="0" distB="0" distL="0" distR="0">
            <wp:extent cx="2715768" cy="1024128"/>
            <wp:effectExtent l="19050" t="0" r="8382" b="0"/>
            <wp:docPr id="7" name="Рисунок 5" descr="рис 5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5б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5768" cy="1024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6696" w:rsidRDefault="00FA6696" w:rsidP="00FA6696">
      <w:pPr>
        <w:jc w:val="center"/>
        <w:rPr>
          <w:rFonts w:eastAsia="Arial Unicode MS" w:cs="Times New Roman"/>
          <w:color w:val="000000"/>
          <w:szCs w:val="28"/>
          <w:lang w:eastAsia="ru-RU"/>
        </w:rPr>
      </w:pPr>
      <w:r>
        <w:rPr>
          <w:rFonts w:eastAsia="Arial Unicode MS" w:cs="Times New Roman"/>
          <w:color w:val="000000"/>
          <w:szCs w:val="28"/>
          <w:lang w:eastAsia="ru-RU"/>
        </w:rPr>
        <w:t>а                                                         б</w:t>
      </w:r>
    </w:p>
    <w:p w:rsidR="00FA6696" w:rsidRPr="000C6EB6" w:rsidRDefault="00FA6696" w:rsidP="00FA6696">
      <w:pPr>
        <w:jc w:val="center"/>
        <w:rPr>
          <w:rFonts w:eastAsia="Arial Unicode MS" w:cs="Times New Roman"/>
          <w:color w:val="000000"/>
          <w:sz w:val="24"/>
          <w:szCs w:val="28"/>
          <w:lang w:eastAsia="ru-RU"/>
        </w:rPr>
      </w:pPr>
      <w:r w:rsidRPr="000C6EB6">
        <w:rPr>
          <w:rFonts w:eastAsia="Arial Unicode MS" w:cs="Times New Roman"/>
          <w:color w:val="000000"/>
          <w:sz w:val="24"/>
          <w:szCs w:val="28"/>
          <w:lang w:eastAsia="ru-RU"/>
        </w:rPr>
        <w:t>Рис. 5. Образцы для испытания на ударную вязкость</w:t>
      </w:r>
    </w:p>
    <w:p w:rsidR="00821400" w:rsidRPr="00FA6696" w:rsidRDefault="00FA6696" w:rsidP="00821400">
      <w:pPr>
        <w:ind w:firstLine="709"/>
        <w:rPr>
          <w:rFonts w:eastAsia="Palatino Linotype" w:cs="Times New Roman"/>
          <w:color w:val="000000"/>
          <w:szCs w:val="28"/>
          <w:lang w:eastAsia="ru-RU"/>
        </w:rPr>
      </w:pPr>
      <w:r w:rsidRPr="00821400">
        <w:rPr>
          <w:rFonts w:eastAsia="Palatino Linotype" w:cs="Times New Roman"/>
          <w:color w:val="000000"/>
          <w:szCs w:val="28"/>
          <w:lang w:eastAsia="ru-RU"/>
        </w:rPr>
        <w:t xml:space="preserve">Экспериментальные исследования показали, что характер разрушения титановых слоистых композитов </w:t>
      </w:r>
      <w:r>
        <w:rPr>
          <w:rFonts w:eastAsia="Palatino Linotype" w:cs="Times New Roman"/>
          <w:color w:val="000000"/>
          <w:szCs w:val="28"/>
          <w:lang w:eastAsia="ru-RU"/>
        </w:rPr>
        <w:t>п</w:t>
      </w:r>
      <w:r w:rsidRPr="00821400">
        <w:rPr>
          <w:rFonts w:eastAsia="Palatino Linotype" w:cs="Times New Roman"/>
          <w:color w:val="000000"/>
          <w:szCs w:val="28"/>
          <w:lang w:eastAsia="ru-RU"/>
        </w:rPr>
        <w:t xml:space="preserve">ри ударных испытаниях зависит от </w:t>
      </w:r>
      <w:r w:rsidRPr="00FA6696">
        <w:rPr>
          <w:rFonts w:eastAsia="Palatino Linotype" w:cs="Times New Roman"/>
          <w:i/>
          <w:color w:val="000000"/>
          <w:szCs w:val="28"/>
          <w:lang w:val="en-US" w:eastAsia="ru-RU"/>
        </w:rPr>
        <w:t>V</w:t>
      </w:r>
      <w:r w:rsidRPr="00FA6696">
        <w:rPr>
          <w:rFonts w:eastAsia="Palatino Linotype" w:cs="Times New Roman"/>
          <w:i/>
          <w:color w:val="000000"/>
          <w:szCs w:val="28"/>
          <w:vertAlign w:val="subscript"/>
          <w:lang w:eastAsia="ru-RU"/>
        </w:rPr>
        <w:t>пл</w:t>
      </w:r>
      <w:r w:rsidRPr="00821400">
        <w:rPr>
          <w:rFonts w:eastAsia="Palatino Linotype" w:cs="Times New Roman"/>
          <w:color w:val="000000"/>
          <w:szCs w:val="28"/>
          <w:lang w:eastAsia="ru-RU"/>
        </w:rPr>
        <w:t xml:space="preserve"> и расположения надреза (трещины) по отношению к структурным слоям (рис.</w:t>
      </w:r>
      <w:r>
        <w:rPr>
          <w:rFonts w:eastAsia="Palatino Linotype" w:cs="Times New Roman"/>
          <w:color w:val="000000"/>
          <w:szCs w:val="28"/>
          <w:lang w:eastAsia="ru-RU"/>
        </w:rPr>
        <w:t xml:space="preserve"> 6).</w:t>
      </w:r>
      <w:r w:rsidRPr="00821400">
        <w:rPr>
          <w:rFonts w:eastAsia="Palatino Linotype" w:cs="Times New Roman"/>
          <w:color w:val="000000"/>
          <w:szCs w:val="28"/>
          <w:lang w:eastAsia="ru-RU"/>
        </w:rPr>
        <w:t xml:space="preserve"> С ростом </w:t>
      </w:r>
      <w:r w:rsidRPr="00FA6696">
        <w:rPr>
          <w:rFonts w:eastAsia="Palatino Linotype" w:cs="Times New Roman"/>
          <w:i/>
          <w:color w:val="000000"/>
          <w:szCs w:val="28"/>
          <w:lang w:val="en-US" w:eastAsia="ru-RU"/>
        </w:rPr>
        <w:t>V</w:t>
      </w:r>
      <w:r w:rsidRPr="00FA6696">
        <w:rPr>
          <w:rFonts w:eastAsia="Palatino Linotype" w:cs="Times New Roman"/>
          <w:i/>
          <w:color w:val="000000"/>
          <w:szCs w:val="28"/>
          <w:vertAlign w:val="subscript"/>
          <w:lang w:eastAsia="ru-RU"/>
        </w:rPr>
        <w:t>пл</w:t>
      </w:r>
      <w:r w:rsidRPr="00821400">
        <w:rPr>
          <w:rFonts w:eastAsia="Palatino Linotype" w:cs="Times New Roman"/>
          <w:color w:val="000000"/>
          <w:szCs w:val="28"/>
          <w:lang w:eastAsia="ru-RU"/>
        </w:rPr>
        <w:t xml:space="preserve"> значения </w:t>
      </w:r>
      <w:r w:rsidRPr="00FA6696">
        <w:rPr>
          <w:rFonts w:eastAsia="Palatino Linotype" w:cs="Times New Roman"/>
          <w:i/>
          <w:color w:val="000000"/>
          <w:szCs w:val="28"/>
          <w:lang w:val="en-GB" w:eastAsia="ru-RU"/>
        </w:rPr>
        <w:t>KCV</w:t>
      </w:r>
      <w:r w:rsidRPr="00821400">
        <w:rPr>
          <w:rFonts w:eastAsia="Palatino Linotype" w:cs="Times New Roman"/>
          <w:color w:val="000000"/>
          <w:szCs w:val="28"/>
          <w:lang w:eastAsia="ru-RU"/>
        </w:rPr>
        <w:t xml:space="preserve"> и </w:t>
      </w:r>
      <w:r w:rsidRPr="00FA6696">
        <w:rPr>
          <w:rFonts w:eastAsia="Palatino Linotype" w:cs="Times New Roman"/>
          <w:i/>
          <w:color w:val="000000"/>
          <w:szCs w:val="28"/>
          <w:lang w:eastAsia="ru-RU"/>
        </w:rPr>
        <w:t>КСТ</w:t>
      </w:r>
      <w:r w:rsidRPr="00821400">
        <w:rPr>
          <w:rFonts w:eastAsia="Palatino Linotype" w:cs="Times New Roman"/>
          <w:color w:val="000000"/>
          <w:szCs w:val="28"/>
          <w:lang w:eastAsia="ru-RU"/>
        </w:rPr>
        <w:t xml:space="preserve"> увеличиваются (надрез в продольном направлении (рис. </w:t>
      </w:r>
      <w:r>
        <w:rPr>
          <w:rFonts w:eastAsia="Palatino Linotype" w:cs="Times New Roman"/>
          <w:color w:val="000000"/>
          <w:szCs w:val="28"/>
          <w:lang w:eastAsia="ru-RU"/>
        </w:rPr>
        <w:t xml:space="preserve">6, </w:t>
      </w:r>
      <w:r w:rsidRPr="00821400">
        <w:rPr>
          <w:rFonts w:eastAsia="Palatino Linotype" w:cs="Times New Roman"/>
          <w:color w:val="000000"/>
          <w:szCs w:val="28"/>
          <w:lang w:eastAsia="ru-RU"/>
        </w:rPr>
        <w:t>кривые</w:t>
      </w:r>
      <w:r w:rsidRPr="00821400">
        <w:rPr>
          <w:rFonts w:eastAsia="Trebuchet MS" w:cs="Times New Roman"/>
          <w:i/>
          <w:iCs/>
          <w:color w:val="000000"/>
          <w:szCs w:val="28"/>
          <w:lang w:eastAsia="ru-RU"/>
        </w:rPr>
        <w:t xml:space="preserve"> </w:t>
      </w:r>
      <w:r w:rsidRPr="00FA6696">
        <w:rPr>
          <w:rFonts w:eastAsia="Trebuchet MS" w:cs="Times New Roman"/>
          <w:iCs/>
          <w:color w:val="000000"/>
          <w:szCs w:val="28"/>
          <w:lang w:eastAsia="ru-RU"/>
        </w:rPr>
        <w:t>1,2).</w:t>
      </w:r>
      <w:r>
        <w:rPr>
          <w:rFonts w:eastAsia="Palatino Linotype" w:cs="Times New Roman"/>
          <w:color w:val="000000"/>
          <w:szCs w:val="28"/>
          <w:lang w:eastAsia="ru-RU"/>
        </w:rPr>
        <w:t xml:space="preserve"> Сопротив</w:t>
      </w:r>
      <w:r w:rsidR="00821400" w:rsidRPr="00821400">
        <w:rPr>
          <w:rFonts w:eastAsia="Palatino Linotype" w:cs="Times New Roman"/>
          <w:color w:val="000000"/>
          <w:szCs w:val="28"/>
          <w:lang w:eastAsia="ru-RU"/>
        </w:rPr>
        <w:t xml:space="preserve">ление материала распространению трещины обеспечивается </w:t>
      </w:r>
      <w:r w:rsidR="00821400" w:rsidRPr="00FA6696">
        <w:rPr>
          <w:rFonts w:eastAsia="Palatino Linotype" w:cs="Times New Roman"/>
          <w:color w:val="000000"/>
          <w:szCs w:val="28"/>
          <w:lang w:eastAsia="ru-RU"/>
        </w:rPr>
        <w:t xml:space="preserve">расщеплением слоя на ряд тонких слоев у ее вершины. </w:t>
      </w:r>
    </w:p>
    <w:p w:rsidR="00FA6696" w:rsidRPr="00FA6696" w:rsidRDefault="00FA6696" w:rsidP="00FA6696">
      <w:pPr>
        <w:jc w:val="center"/>
        <w:rPr>
          <w:rFonts w:eastAsia="Palatino Linotype" w:cs="Times New Roman"/>
          <w:iCs/>
          <w:color w:val="000000"/>
          <w:szCs w:val="28"/>
          <w:lang w:eastAsia="ru-RU"/>
        </w:rPr>
      </w:pPr>
      <w:r>
        <w:rPr>
          <w:rFonts w:eastAsia="Palatino Linotype" w:cs="Times New Roman"/>
          <w:iCs/>
          <w:noProof/>
          <w:color w:val="000000"/>
          <w:szCs w:val="28"/>
          <w:lang w:eastAsia="ru-RU"/>
        </w:rPr>
        <w:drawing>
          <wp:inline distT="0" distB="0" distL="0" distR="0">
            <wp:extent cx="2880000" cy="3025991"/>
            <wp:effectExtent l="19050" t="0" r="0" b="0"/>
            <wp:docPr id="8" name="Рисунок 7" descr="рис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6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3025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6696" w:rsidRPr="000C6EB6" w:rsidRDefault="00FA6696" w:rsidP="00FA6696">
      <w:pPr>
        <w:jc w:val="center"/>
        <w:rPr>
          <w:rFonts w:eastAsia="Palatino Linotype" w:cs="Times New Roman"/>
          <w:color w:val="000000"/>
          <w:sz w:val="24"/>
          <w:szCs w:val="28"/>
          <w:lang w:eastAsia="ru-RU"/>
        </w:rPr>
      </w:pPr>
      <w:r w:rsidRPr="000C6EB6">
        <w:rPr>
          <w:rFonts w:eastAsia="Palatino Linotype" w:cs="Times New Roman"/>
          <w:iCs/>
          <w:color w:val="000000"/>
          <w:sz w:val="24"/>
          <w:szCs w:val="28"/>
          <w:lang w:eastAsia="ru-RU"/>
        </w:rPr>
        <w:t>Рис.</w:t>
      </w:r>
      <w:r w:rsidRPr="000C6EB6">
        <w:rPr>
          <w:rFonts w:eastAsia="Palatino Linotype" w:cs="Times New Roman"/>
          <w:color w:val="000000"/>
          <w:sz w:val="24"/>
          <w:szCs w:val="28"/>
          <w:lang w:eastAsia="ru-RU"/>
        </w:rPr>
        <w:t xml:space="preserve"> 6. Зависимость </w:t>
      </w:r>
      <w:r w:rsidRPr="000C6EB6">
        <w:rPr>
          <w:rFonts w:eastAsia="Palatino Linotype" w:cs="Times New Roman"/>
          <w:i/>
          <w:color w:val="000000"/>
          <w:sz w:val="24"/>
          <w:szCs w:val="28"/>
          <w:lang w:val="en-GB" w:eastAsia="ru-RU"/>
        </w:rPr>
        <w:t>KCV</w:t>
      </w:r>
      <w:r w:rsidRPr="000C6EB6">
        <w:rPr>
          <w:rFonts w:eastAsia="Palatino Linotype" w:cs="Times New Roman"/>
          <w:iCs/>
          <w:color w:val="000000"/>
          <w:sz w:val="24"/>
          <w:szCs w:val="28"/>
          <w:lang w:eastAsia="ru-RU"/>
        </w:rPr>
        <w:t xml:space="preserve"> (1,3)</w:t>
      </w:r>
      <w:r w:rsidRPr="000C6EB6">
        <w:rPr>
          <w:rFonts w:eastAsia="Palatino Linotype" w:cs="Times New Roman"/>
          <w:color w:val="000000"/>
          <w:sz w:val="24"/>
          <w:szCs w:val="28"/>
          <w:lang w:eastAsia="ru-RU"/>
        </w:rPr>
        <w:t xml:space="preserve"> и </w:t>
      </w:r>
      <w:r w:rsidRPr="000C6EB6">
        <w:rPr>
          <w:rFonts w:eastAsia="Palatino Linotype" w:cs="Times New Roman"/>
          <w:i/>
          <w:color w:val="000000"/>
          <w:sz w:val="24"/>
          <w:szCs w:val="28"/>
          <w:lang w:eastAsia="ru-RU"/>
        </w:rPr>
        <w:t>КСТ</w:t>
      </w:r>
      <w:r w:rsidRPr="000C6EB6">
        <w:rPr>
          <w:rFonts w:eastAsia="Palatino Linotype" w:cs="Times New Roman"/>
          <w:iCs/>
          <w:color w:val="000000"/>
          <w:sz w:val="24"/>
          <w:szCs w:val="28"/>
          <w:lang w:eastAsia="ru-RU"/>
        </w:rPr>
        <w:t xml:space="preserve"> (2,4)</w:t>
      </w:r>
      <w:r w:rsidRPr="000C6EB6">
        <w:rPr>
          <w:rFonts w:eastAsia="Palatino Linotype" w:cs="Times New Roman"/>
          <w:color w:val="000000"/>
          <w:sz w:val="24"/>
          <w:szCs w:val="28"/>
          <w:lang w:eastAsia="ru-RU"/>
        </w:rPr>
        <w:t xml:space="preserve"> от </w:t>
      </w:r>
      <w:r w:rsidRPr="000C6EB6">
        <w:rPr>
          <w:rFonts w:eastAsia="Palatino Linotype" w:cs="Times New Roman"/>
          <w:i/>
          <w:color w:val="000000"/>
          <w:sz w:val="24"/>
          <w:szCs w:val="28"/>
          <w:lang w:val="en-US" w:eastAsia="ru-RU"/>
        </w:rPr>
        <w:t>V</w:t>
      </w:r>
      <w:r w:rsidRPr="000C6EB6">
        <w:rPr>
          <w:rFonts w:eastAsia="Palatino Linotype" w:cs="Times New Roman"/>
          <w:i/>
          <w:color w:val="000000"/>
          <w:sz w:val="24"/>
          <w:szCs w:val="28"/>
          <w:vertAlign w:val="subscript"/>
          <w:lang w:eastAsia="ru-RU"/>
        </w:rPr>
        <w:t>пл</w:t>
      </w:r>
      <w:r w:rsidRPr="000C6EB6">
        <w:rPr>
          <w:rFonts w:eastAsia="Palatino Linotype" w:cs="Times New Roman"/>
          <w:color w:val="000000"/>
          <w:sz w:val="24"/>
          <w:szCs w:val="28"/>
          <w:lang w:eastAsia="ru-RU"/>
        </w:rPr>
        <w:t xml:space="preserve"> при нанесении концентратора в продольном</w:t>
      </w:r>
      <w:r w:rsidRPr="000C6EB6">
        <w:rPr>
          <w:rFonts w:eastAsia="Palatino Linotype" w:cs="Times New Roman"/>
          <w:iCs/>
          <w:color w:val="000000"/>
          <w:sz w:val="24"/>
          <w:szCs w:val="28"/>
          <w:lang w:eastAsia="ru-RU"/>
        </w:rPr>
        <w:t xml:space="preserve"> (1,2)</w:t>
      </w:r>
      <w:r w:rsidRPr="000C6EB6">
        <w:rPr>
          <w:rFonts w:eastAsia="Palatino Linotype" w:cs="Times New Roman"/>
          <w:color w:val="000000"/>
          <w:sz w:val="24"/>
          <w:szCs w:val="28"/>
          <w:lang w:eastAsia="ru-RU"/>
        </w:rPr>
        <w:t xml:space="preserve"> и поперечном</w:t>
      </w:r>
      <w:r w:rsidRPr="000C6EB6">
        <w:rPr>
          <w:rFonts w:eastAsia="Palatino Linotype" w:cs="Times New Roman"/>
          <w:iCs/>
          <w:color w:val="000000"/>
          <w:sz w:val="24"/>
          <w:szCs w:val="28"/>
          <w:lang w:eastAsia="ru-RU"/>
        </w:rPr>
        <w:t xml:space="preserve"> (3,4)</w:t>
      </w:r>
      <w:r w:rsidRPr="000C6EB6">
        <w:rPr>
          <w:rFonts w:eastAsia="Palatino Linotype" w:cs="Times New Roman"/>
          <w:color w:val="000000"/>
          <w:sz w:val="24"/>
          <w:szCs w:val="28"/>
          <w:lang w:eastAsia="ru-RU"/>
        </w:rPr>
        <w:t xml:space="preserve"> направлениях по отношению к структурным слоям</w:t>
      </w:r>
    </w:p>
    <w:p w:rsidR="00821400" w:rsidRPr="00821400" w:rsidRDefault="00821400" w:rsidP="00821400">
      <w:pPr>
        <w:ind w:firstLine="709"/>
        <w:rPr>
          <w:rFonts w:eastAsia="Palatino Linotype" w:cs="Times New Roman"/>
          <w:color w:val="000000"/>
          <w:szCs w:val="28"/>
          <w:lang w:eastAsia="ru-RU"/>
        </w:rPr>
      </w:pPr>
      <w:r w:rsidRPr="00821400">
        <w:rPr>
          <w:rFonts w:eastAsia="Arial Unicode MS" w:cs="Times New Roman"/>
          <w:color w:val="000000"/>
          <w:szCs w:val="28"/>
          <w:lang w:eastAsia="ru-RU"/>
        </w:rPr>
        <w:lastRenderedPageBreak/>
        <w:t xml:space="preserve">Во всех случаях, когда надрез выполнялся в поперечном направлении, образцы при испытании на ударную вязкость разрушались лишь при </w:t>
      </w:r>
      <w:r>
        <w:rPr>
          <w:rFonts w:eastAsia="Arial Unicode MS" w:cs="Times New Roman"/>
          <w:color w:val="000000"/>
          <w:szCs w:val="28"/>
          <w:lang w:eastAsia="ru-RU"/>
        </w:rPr>
        <w:t>достижении первой плоскости сое</w:t>
      </w:r>
      <w:r w:rsidRPr="00821400">
        <w:rPr>
          <w:rFonts w:eastAsia="Arial Unicode MS" w:cs="Times New Roman"/>
          <w:color w:val="000000"/>
          <w:szCs w:val="28"/>
          <w:lang w:eastAsia="ru-RU"/>
        </w:rPr>
        <w:t>динения структурных слое</w:t>
      </w:r>
      <w:r>
        <w:rPr>
          <w:rFonts w:eastAsia="Arial Unicode MS" w:cs="Times New Roman"/>
          <w:color w:val="000000"/>
          <w:szCs w:val="28"/>
          <w:lang w:eastAsia="ru-RU"/>
        </w:rPr>
        <w:t>в. Остальная часть образца силь</w:t>
      </w:r>
      <w:r w:rsidRPr="00821400">
        <w:rPr>
          <w:rFonts w:eastAsia="Arial Unicode MS" w:cs="Times New Roman"/>
          <w:color w:val="000000"/>
          <w:szCs w:val="28"/>
          <w:lang w:eastAsia="ru-RU"/>
        </w:rPr>
        <w:t>но деформируется и расслаивается по поверхности раздела слоев с р</w:t>
      </w:r>
      <w:r>
        <w:rPr>
          <w:rFonts w:eastAsia="Arial Unicode MS" w:cs="Times New Roman"/>
          <w:color w:val="000000"/>
          <w:szCs w:val="28"/>
          <w:lang w:eastAsia="ru-RU"/>
        </w:rPr>
        <w:t>авноосной</w:t>
      </w:r>
      <w:r>
        <w:rPr>
          <w:rFonts w:eastAsia="Arial Unicode MS" w:cs="Times New Roman"/>
          <w:color w:val="000000"/>
          <w:szCs w:val="28"/>
          <w:lang w:eastAsia="ru-RU"/>
        </w:rPr>
        <w:tab/>
        <w:t xml:space="preserve"> и пластинчатой </w:t>
      </w:r>
      <w:r w:rsidRPr="00821400">
        <w:rPr>
          <w:rFonts w:eastAsia="Arial Unicode MS" w:cs="Times New Roman"/>
          <w:color w:val="000000"/>
          <w:szCs w:val="28"/>
          <w:lang w:eastAsia="ru-RU"/>
        </w:rPr>
        <w:t>структурой,</w:t>
      </w:r>
      <w:r>
        <w:rPr>
          <w:rFonts w:eastAsia="Arial Unicode MS" w:cs="Times New Roman"/>
          <w:color w:val="000000"/>
          <w:szCs w:val="28"/>
          <w:lang w:eastAsia="ru-RU"/>
        </w:rPr>
        <w:t xml:space="preserve"> </w:t>
      </w:r>
      <w:r w:rsidRPr="00821400">
        <w:rPr>
          <w:rFonts w:eastAsia="Palatino Linotype" w:cs="Times New Roman"/>
          <w:color w:val="000000"/>
          <w:szCs w:val="28"/>
          <w:lang w:eastAsia="ru-RU"/>
        </w:rPr>
        <w:t xml:space="preserve">но разрушения не происходит (рис. </w:t>
      </w:r>
      <w:r w:rsidR="00FA6696">
        <w:rPr>
          <w:rFonts w:eastAsia="Palatino Linotype" w:cs="Times New Roman"/>
          <w:color w:val="000000"/>
          <w:szCs w:val="28"/>
          <w:lang w:eastAsia="ru-RU"/>
        </w:rPr>
        <w:t>7</w:t>
      </w:r>
      <w:r>
        <w:rPr>
          <w:rFonts w:eastAsia="Palatino Linotype" w:cs="Times New Roman"/>
          <w:color w:val="000000"/>
          <w:szCs w:val="28"/>
          <w:lang w:eastAsia="ru-RU"/>
        </w:rPr>
        <w:t>).</w:t>
      </w:r>
    </w:p>
    <w:p w:rsidR="00FA6696" w:rsidRDefault="00FA6696" w:rsidP="00FA6696">
      <w:pPr>
        <w:jc w:val="center"/>
        <w:rPr>
          <w:rFonts w:eastAsia="Palatino Linotype" w:cs="Times New Roman"/>
          <w:color w:val="000000"/>
          <w:szCs w:val="28"/>
          <w:lang w:eastAsia="ru-RU"/>
        </w:rPr>
      </w:pPr>
    </w:p>
    <w:p w:rsidR="00FA6696" w:rsidRDefault="00FA6696" w:rsidP="00FA6696">
      <w:pPr>
        <w:jc w:val="center"/>
        <w:rPr>
          <w:rFonts w:eastAsia="Palatino Linotype" w:cs="Times New Roman"/>
          <w:color w:val="000000"/>
          <w:szCs w:val="28"/>
          <w:lang w:eastAsia="ru-RU"/>
        </w:rPr>
      </w:pPr>
      <w:r>
        <w:rPr>
          <w:rFonts w:eastAsia="Palatino Linotype" w:cs="Times New Roman"/>
          <w:noProof/>
          <w:color w:val="000000"/>
          <w:szCs w:val="28"/>
          <w:lang w:eastAsia="ru-RU"/>
        </w:rPr>
        <w:drawing>
          <wp:inline distT="0" distB="0" distL="0" distR="0">
            <wp:extent cx="2880000" cy="1930549"/>
            <wp:effectExtent l="19050" t="0" r="0" b="0"/>
            <wp:docPr id="9" name="Рисунок 8" descr="рис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7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30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1400" w:rsidRPr="000C6EB6" w:rsidRDefault="00FA6696" w:rsidP="00FA6696">
      <w:pPr>
        <w:jc w:val="center"/>
        <w:rPr>
          <w:rFonts w:eastAsia="Palatino Linotype" w:cs="Times New Roman"/>
          <w:color w:val="000000"/>
          <w:sz w:val="24"/>
          <w:szCs w:val="28"/>
          <w:lang w:eastAsia="ru-RU"/>
        </w:rPr>
      </w:pPr>
      <w:r w:rsidRPr="000C6EB6">
        <w:rPr>
          <w:rFonts w:eastAsia="Palatino Linotype" w:cs="Times New Roman"/>
          <w:color w:val="000000"/>
          <w:sz w:val="24"/>
          <w:szCs w:val="28"/>
          <w:lang w:eastAsia="ru-RU"/>
        </w:rPr>
        <w:t xml:space="preserve">Рис. 7. </w:t>
      </w:r>
      <w:r w:rsidR="00821400" w:rsidRPr="000C6EB6">
        <w:rPr>
          <w:rFonts w:eastAsia="Palatino Linotype" w:cs="Times New Roman"/>
          <w:color w:val="000000"/>
          <w:sz w:val="24"/>
          <w:szCs w:val="28"/>
          <w:lang w:eastAsia="ru-RU"/>
        </w:rPr>
        <w:t>Характер разрушения образцов при испытаниях на ударную вязкость и расположение концентратора в поперечном направлении по отношению к структурным слоям</w:t>
      </w:r>
    </w:p>
    <w:p w:rsidR="00FA6696" w:rsidRDefault="00FA6696" w:rsidP="00821400">
      <w:pPr>
        <w:ind w:firstLine="709"/>
        <w:rPr>
          <w:rFonts w:eastAsia="Palatino Linotype" w:cs="Times New Roman"/>
          <w:color w:val="000000"/>
          <w:szCs w:val="28"/>
          <w:lang w:eastAsia="ru-RU"/>
        </w:rPr>
      </w:pPr>
    </w:p>
    <w:p w:rsidR="00821400" w:rsidRPr="00821400" w:rsidRDefault="00821400" w:rsidP="00821400">
      <w:pPr>
        <w:ind w:firstLine="709"/>
        <w:rPr>
          <w:rFonts w:eastAsia="Palatino Linotype" w:cs="Times New Roman"/>
          <w:color w:val="000000"/>
          <w:szCs w:val="28"/>
          <w:lang w:eastAsia="ru-RU"/>
        </w:rPr>
      </w:pPr>
      <w:r w:rsidRPr="00821400">
        <w:rPr>
          <w:rFonts w:eastAsia="Palatino Linotype" w:cs="Times New Roman"/>
          <w:color w:val="000000"/>
          <w:szCs w:val="28"/>
          <w:lang w:eastAsia="ru-RU"/>
        </w:rPr>
        <w:t xml:space="preserve">При распространении трещины перпендикулярно </w:t>
      </w:r>
      <w:r>
        <w:rPr>
          <w:rFonts w:eastAsia="Palatino Linotype" w:cs="Times New Roman"/>
          <w:color w:val="000000"/>
          <w:szCs w:val="28"/>
          <w:lang w:eastAsia="ru-RU"/>
        </w:rPr>
        <w:t>струк</w:t>
      </w:r>
      <w:r w:rsidRPr="00821400">
        <w:rPr>
          <w:rFonts w:eastAsia="Palatino Linotype" w:cs="Times New Roman"/>
          <w:color w:val="000000"/>
          <w:szCs w:val="28"/>
          <w:lang w:eastAsia="ru-RU"/>
        </w:rPr>
        <w:t xml:space="preserve">турным слоям происходит ее торможение в результате ее развития вдоль поверхности раздела слоев вблизи вершины растущей трещины. Для дальнейшего развития процесса разрушения необходимо зарождение </w:t>
      </w:r>
      <w:r w:rsidR="00D70581">
        <w:rPr>
          <w:rFonts w:eastAsia="Palatino Linotype" w:cs="Times New Roman"/>
          <w:color w:val="000000"/>
          <w:szCs w:val="28"/>
          <w:lang w:eastAsia="ru-RU"/>
        </w:rPr>
        <w:t>новых трещин</w:t>
      </w:r>
      <w:r w:rsidRPr="00821400">
        <w:rPr>
          <w:rFonts w:eastAsia="Palatino Linotype" w:cs="Times New Roman"/>
          <w:color w:val="000000"/>
          <w:szCs w:val="28"/>
          <w:lang w:eastAsia="ru-RU"/>
        </w:rPr>
        <w:t xml:space="preserve"> </w:t>
      </w:r>
      <w:r>
        <w:rPr>
          <w:rFonts w:eastAsia="Palatino Linotype" w:cs="Times New Roman"/>
          <w:color w:val="000000"/>
          <w:szCs w:val="28"/>
          <w:lang w:eastAsia="ru-RU"/>
        </w:rPr>
        <w:t>-</w:t>
      </w:r>
      <w:r w:rsidRPr="00821400">
        <w:rPr>
          <w:rFonts w:eastAsia="Palatino Linotype" w:cs="Times New Roman"/>
          <w:color w:val="000000"/>
          <w:szCs w:val="28"/>
          <w:lang w:eastAsia="ru-RU"/>
        </w:rPr>
        <w:t xml:space="preserve"> процесс, требующий значительно большей энергии, чем распространени</w:t>
      </w:r>
      <w:r w:rsidR="00D70581">
        <w:rPr>
          <w:rFonts w:eastAsia="Palatino Linotype" w:cs="Times New Roman"/>
          <w:color w:val="000000"/>
          <w:szCs w:val="28"/>
          <w:lang w:eastAsia="ru-RU"/>
        </w:rPr>
        <w:t>е</w:t>
      </w:r>
      <w:r w:rsidRPr="00821400">
        <w:rPr>
          <w:rFonts w:eastAsia="Palatino Linotype" w:cs="Times New Roman"/>
          <w:color w:val="000000"/>
          <w:szCs w:val="28"/>
          <w:lang w:eastAsia="ru-RU"/>
        </w:rPr>
        <w:t xml:space="preserve"> уже имеющейся трещины</w:t>
      </w:r>
    </w:p>
    <w:p w:rsidR="00821400" w:rsidRPr="00821400" w:rsidRDefault="00821400" w:rsidP="00821400">
      <w:pPr>
        <w:ind w:firstLine="709"/>
        <w:rPr>
          <w:rFonts w:eastAsia="Palatino Linotype" w:cs="Times New Roman"/>
          <w:color w:val="000000"/>
          <w:szCs w:val="28"/>
          <w:lang w:eastAsia="ru-RU"/>
        </w:rPr>
      </w:pPr>
      <w:r w:rsidRPr="00821400">
        <w:rPr>
          <w:rFonts w:eastAsia="Palatino Linotype" w:cs="Times New Roman"/>
          <w:color w:val="000000"/>
          <w:szCs w:val="28"/>
          <w:lang w:eastAsia="ru-RU"/>
        </w:rPr>
        <w:t xml:space="preserve">Значения </w:t>
      </w:r>
      <w:r w:rsidRPr="00D70581">
        <w:rPr>
          <w:rFonts w:eastAsia="Palatino Linotype" w:cs="Times New Roman"/>
          <w:i/>
          <w:color w:val="000000"/>
          <w:szCs w:val="28"/>
          <w:lang w:val="en-GB" w:eastAsia="ru-RU"/>
        </w:rPr>
        <w:t>KCV</w:t>
      </w:r>
      <w:r w:rsidRPr="00821400">
        <w:rPr>
          <w:rFonts w:eastAsia="Palatino Linotype" w:cs="Times New Roman"/>
          <w:color w:val="000000"/>
          <w:szCs w:val="28"/>
          <w:lang w:eastAsia="ru-RU"/>
        </w:rPr>
        <w:t xml:space="preserve"> и </w:t>
      </w:r>
      <w:r w:rsidRPr="00D70581">
        <w:rPr>
          <w:rFonts w:eastAsia="Palatino Linotype" w:cs="Times New Roman"/>
          <w:i/>
          <w:color w:val="000000"/>
          <w:szCs w:val="28"/>
          <w:lang w:eastAsia="ru-RU"/>
        </w:rPr>
        <w:t>КСТ</w:t>
      </w:r>
      <w:r w:rsidR="00066172">
        <w:rPr>
          <w:rFonts w:eastAsia="Palatino Linotype" w:cs="Times New Roman"/>
          <w:color w:val="000000"/>
          <w:szCs w:val="28"/>
          <w:lang w:eastAsia="ru-RU"/>
        </w:rPr>
        <w:t xml:space="preserve"> слоистых микроструктурн</w:t>
      </w:r>
      <w:r w:rsidRPr="00821400">
        <w:rPr>
          <w:rFonts w:eastAsia="Palatino Linotype" w:cs="Times New Roman"/>
          <w:color w:val="000000"/>
          <w:szCs w:val="28"/>
          <w:lang w:eastAsia="ru-RU"/>
        </w:rPr>
        <w:t>ых композитов (концентратор нанесен в поперечном направлении) значительно больше, чем у однородных структур,</w:t>
      </w:r>
    </w:p>
    <w:p w:rsidR="000F39B9" w:rsidRDefault="009C4F10" w:rsidP="009C4F10">
      <w:pPr>
        <w:ind w:firstLine="709"/>
      </w:pPr>
      <w:r>
        <w:t xml:space="preserve">Таким образом, приведенные результаты дают основание считать, что диффузионная сварка является эффективным технологическим </w:t>
      </w:r>
      <w:r>
        <w:lastRenderedPageBreak/>
        <w:t>процессом для создания титановых слоистых конструкций аэрокосмической техники.</w:t>
      </w:r>
    </w:p>
    <w:p w:rsidR="000F39B9" w:rsidRDefault="000F39B9" w:rsidP="009C4F10">
      <w:pPr>
        <w:ind w:firstLine="709"/>
      </w:pPr>
    </w:p>
    <w:p w:rsidR="00146547" w:rsidRDefault="00146547" w:rsidP="00146547">
      <w:pPr>
        <w:ind w:firstLine="720"/>
        <w:rPr>
          <w:szCs w:val="28"/>
        </w:rPr>
      </w:pPr>
      <w:r>
        <w:rPr>
          <w:szCs w:val="28"/>
        </w:rPr>
        <w:t>Литература</w:t>
      </w:r>
    </w:p>
    <w:p w:rsidR="00146547" w:rsidRPr="00146547" w:rsidRDefault="00146547" w:rsidP="00146547">
      <w:pPr>
        <w:ind w:firstLine="720"/>
        <w:rPr>
          <w:rFonts w:eastAsia="Times New Roman" w:cs="Times New Roman"/>
          <w:color w:val="auto"/>
          <w:szCs w:val="28"/>
          <w:lang w:eastAsia="ru-RU"/>
        </w:rPr>
      </w:pPr>
      <w:r w:rsidRPr="00146547">
        <w:rPr>
          <w:szCs w:val="28"/>
        </w:rPr>
        <w:t xml:space="preserve">1. </w:t>
      </w:r>
      <w:r w:rsidR="00B740B3">
        <w:rPr>
          <w:szCs w:val="28"/>
        </w:rPr>
        <w:t xml:space="preserve">Пешков В.В. </w:t>
      </w:r>
      <w:r w:rsidRPr="00146547">
        <w:rPr>
          <w:rFonts w:eastAsia="Times New Roman" w:cs="Times New Roman"/>
          <w:color w:val="auto"/>
          <w:szCs w:val="28"/>
          <w:lang w:eastAsia="ru-RU"/>
        </w:rPr>
        <w:t>Диффузионная сварка титановых слоистых конструкций аэрокосмической техники: монография / В.В. Пешков, А.Б. Булков, И.Л. Батаронов, В.Ф. Селиванов, А.И. Стрыгин; под ред. В.С. Рачука, В.Р. Петренко. – Воронеж: ФГБОУ ВПО «Воронежский    государственный     технический   университет», 2012. - 312 с.</w:t>
      </w:r>
    </w:p>
    <w:p w:rsidR="000F39B9" w:rsidRDefault="00146547" w:rsidP="00BA0B56">
      <w:pPr>
        <w:ind w:firstLine="720"/>
      </w:pPr>
      <w:r w:rsidRPr="00146547">
        <w:rPr>
          <w:rFonts w:eastAsia="Times New Roman" w:cs="Times New Roman"/>
          <w:color w:val="auto"/>
          <w:szCs w:val="28"/>
          <w:lang w:eastAsia="ru-RU"/>
        </w:rPr>
        <w:t xml:space="preserve">2. </w:t>
      </w:r>
      <w:r w:rsidR="00B740B3">
        <w:rPr>
          <w:szCs w:val="28"/>
        </w:rPr>
        <w:t xml:space="preserve">Пешков В.В. </w:t>
      </w:r>
      <w:r w:rsidRPr="00146547">
        <w:rPr>
          <w:rFonts w:eastAsia="Times New Roman" w:cs="Times New Roman"/>
          <w:color w:val="auto"/>
          <w:szCs w:val="28"/>
          <w:lang w:eastAsia="ru-RU"/>
        </w:rPr>
        <w:t>Микроструктура, топография поверхностей разрушения и свойства титановых сплавов и диффузионно-сварных соединений / В.В. Пешков, А.Б. Булков, И.Л. Батаронов, В.Ф. Селиванов. – Воронеж: Научная книга, 2014. - 247 с.</w:t>
      </w:r>
      <w:r w:rsidR="00BA0B56">
        <w:t xml:space="preserve"> </w:t>
      </w:r>
    </w:p>
    <w:p w:rsidR="000F39B9" w:rsidRPr="009D4C60" w:rsidRDefault="000F39B9" w:rsidP="009C4F10">
      <w:pPr>
        <w:ind w:firstLine="709"/>
      </w:pPr>
    </w:p>
    <w:sectPr w:rsidR="000F39B9" w:rsidRPr="009D4C60" w:rsidSect="00F341CE">
      <w:footerReference w:type="default" r:id="rId17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20624" w:rsidRDefault="00A20624" w:rsidP="000C6EB6">
      <w:pPr>
        <w:spacing w:line="240" w:lineRule="auto"/>
      </w:pPr>
      <w:r>
        <w:separator/>
      </w:r>
    </w:p>
  </w:endnote>
  <w:endnote w:type="continuationSeparator" w:id="1">
    <w:p w:rsidR="00A20624" w:rsidRDefault="00A20624" w:rsidP="000C6EB6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726519"/>
      <w:docPartObj>
        <w:docPartGallery w:val="Page Numbers (Bottom of Page)"/>
        <w:docPartUnique/>
      </w:docPartObj>
    </w:sdtPr>
    <w:sdtContent>
      <w:p w:rsidR="000C6EB6" w:rsidRDefault="000C6EB6">
        <w:pPr>
          <w:pStyle w:val="ab"/>
          <w:jc w:val="center"/>
        </w:pPr>
        <w:fldSimple w:instr=" PAGE   \* MERGEFORMAT ">
          <w:r w:rsidR="00BA0B56">
            <w:rPr>
              <w:noProof/>
            </w:rPr>
            <w:t>12</w:t>
          </w:r>
        </w:fldSimple>
      </w:p>
    </w:sdtContent>
  </w:sdt>
  <w:p w:rsidR="000C6EB6" w:rsidRDefault="000C6EB6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20624" w:rsidRDefault="00A20624" w:rsidP="000C6EB6">
      <w:pPr>
        <w:spacing w:line="240" w:lineRule="auto"/>
      </w:pPr>
      <w:r>
        <w:separator/>
      </w:r>
    </w:p>
  </w:footnote>
  <w:footnote w:type="continuationSeparator" w:id="1">
    <w:p w:rsidR="00A20624" w:rsidRDefault="00A20624" w:rsidP="000C6EB6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D4C60"/>
    <w:rsid w:val="00025540"/>
    <w:rsid w:val="00066172"/>
    <w:rsid w:val="00070EEB"/>
    <w:rsid w:val="000778EF"/>
    <w:rsid w:val="000C6EB6"/>
    <w:rsid w:val="000F39B9"/>
    <w:rsid w:val="00146547"/>
    <w:rsid w:val="001C3081"/>
    <w:rsid w:val="001F0A46"/>
    <w:rsid w:val="002B7A8B"/>
    <w:rsid w:val="002C5F89"/>
    <w:rsid w:val="002F5469"/>
    <w:rsid w:val="0035418A"/>
    <w:rsid w:val="003E1F9F"/>
    <w:rsid w:val="00407AF4"/>
    <w:rsid w:val="0041140A"/>
    <w:rsid w:val="00414918"/>
    <w:rsid w:val="004F2500"/>
    <w:rsid w:val="00511888"/>
    <w:rsid w:val="00541A33"/>
    <w:rsid w:val="0077004B"/>
    <w:rsid w:val="00820A47"/>
    <w:rsid w:val="00821400"/>
    <w:rsid w:val="0085201E"/>
    <w:rsid w:val="008A74D5"/>
    <w:rsid w:val="009215E2"/>
    <w:rsid w:val="00987E48"/>
    <w:rsid w:val="009C4F10"/>
    <w:rsid w:val="009D4C60"/>
    <w:rsid w:val="00A20624"/>
    <w:rsid w:val="00A45C74"/>
    <w:rsid w:val="00A47747"/>
    <w:rsid w:val="00A7659B"/>
    <w:rsid w:val="00B004BF"/>
    <w:rsid w:val="00B740B3"/>
    <w:rsid w:val="00B75A6C"/>
    <w:rsid w:val="00BA0B56"/>
    <w:rsid w:val="00C33B83"/>
    <w:rsid w:val="00C362B9"/>
    <w:rsid w:val="00C86C13"/>
    <w:rsid w:val="00D577CD"/>
    <w:rsid w:val="00D70581"/>
    <w:rsid w:val="00E02B42"/>
    <w:rsid w:val="00E165A3"/>
    <w:rsid w:val="00E34047"/>
    <w:rsid w:val="00EF0BBC"/>
    <w:rsid w:val="00F341CE"/>
    <w:rsid w:val="00FA6696"/>
    <w:rsid w:val="00FE6B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77CD"/>
    <w:pPr>
      <w:spacing w:after="0" w:line="360" w:lineRule="auto"/>
      <w:jc w:val="both"/>
    </w:pPr>
    <w:rPr>
      <w:rFonts w:ascii="Times New Roman" w:hAnsi="Times New Roman"/>
      <w:color w:val="000000" w:themeColor="text1"/>
      <w:sz w:val="28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41A3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41A33"/>
    <w:rPr>
      <w:rFonts w:ascii="Tahoma" w:hAnsi="Tahoma" w:cs="Tahoma"/>
      <w:color w:val="000000" w:themeColor="text1"/>
      <w:sz w:val="16"/>
      <w:szCs w:val="16"/>
      <w:lang w:val="ru-RU"/>
    </w:rPr>
  </w:style>
  <w:style w:type="character" w:customStyle="1" w:styleId="txt">
    <w:name w:val="txt"/>
    <w:basedOn w:val="a0"/>
    <w:rsid w:val="00407AF4"/>
  </w:style>
  <w:style w:type="character" w:customStyle="1" w:styleId="b-serp-urlitem">
    <w:name w:val="b-serp-url__item"/>
    <w:basedOn w:val="a0"/>
    <w:rsid w:val="00407AF4"/>
  </w:style>
  <w:style w:type="paragraph" w:styleId="a5">
    <w:name w:val="Body Text Indent"/>
    <w:basedOn w:val="a"/>
    <w:link w:val="a6"/>
    <w:semiHidden/>
    <w:rsid w:val="00987E48"/>
    <w:pPr>
      <w:widowControl w:val="0"/>
      <w:spacing w:line="240" w:lineRule="auto"/>
      <w:jc w:val="left"/>
    </w:pPr>
    <w:rPr>
      <w:rFonts w:eastAsia="Times New Roman" w:cs="Times New Roman"/>
      <w:color w:val="auto"/>
      <w:sz w:val="24"/>
      <w:szCs w:val="20"/>
      <w:lang w:eastAsia="ru-RU"/>
    </w:rPr>
  </w:style>
  <w:style w:type="character" w:customStyle="1" w:styleId="a6">
    <w:name w:val="Основной текст с отступом Знак"/>
    <w:basedOn w:val="a0"/>
    <w:link w:val="a5"/>
    <w:semiHidden/>
    <w:rsid w:val="00987E48"/>
    <w:rPr>
      <w:rFonts w:ascii="Times New Roman" w:eastAsia="Times New Roman" w:hAnsi="Times New Roman" w:cs="Times New Roman"/>
      <w:sz w:val="24"/>
      <w:szCs w:val="20"/>
      <w:lang w:val="ru-RU" w:eastAsia="ru-RU"/>
    </w:rPr>
  </w:style>
  <w:style w:type="character" w:customStyle="1" w:styleId="hps">
    <w:name w:val="hps"/>
    <w:basedOn w:val="a0"/>
    <w:rsid w:val="00987E48"/>
  </w:style>
  <w:style w:type="character" w:customStyle="1" w:styleId="shorttext">
    <w:name w:val="short_text"/>
    <w:basedOn w:val="a0"/>
    <w:rsid w:val="00987E48"/>
  </w:style>
  <w:style w:type="paragraph" w:styleId="a7">
    <w:name w:val="List Paragraph"/>
    <w:basedOn w:val="a"/>
    <w:uiPriority w:val="34"/>
    <w:qFormat/>
    <w:rsid w:val="00146547"/>
    <w:pPr>
      <w:ind w:left="720"/>
      <w:contextualSpacing/>
    </w:pPr>
  </w:style>
  <w:style w:type="character" w:styleId="a8">
    <w:name w:val="Hyperlink"/>
    <w:basedOn w:val="a0"/>
    <w:uiPriority w:val="99"/>
    <w:unhideWhenUsed/>
    <w:rsid w:val="000C6EB6"/>
    <w:rPr>
      <w:color w:val="0000FF" w:themeColor="hyperlink"/>
      <w:u w:val="single"/>
    </w:rPr>
  </w:style>
  <w:style w:type="paragraph" w:styleId="a9">
    <w:name w:val="header"/>
    <w:basedOn w:val="a"/>
    <w:link w:val="aa"/>
    <w:uiPriority w:val="99"/>
    <w:semiHidden/>
    <w:unhideWhenUsed/>
    <w:rsid w:val="000C6EB6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0C6EB6"/>
    <w:rPr>
      <w:rFonts w:ascii="Times New Roman" w:hAnsi="Times New Roman"/>
      <w:color w:val="000000" w:themeColor="text1"/>
      <w:sz w:val="28"/>
      <w:lang w:val="ru-RU"/>
    </w:rPr>
  </w:style>
  <w:style w:type="paragraph" w:styleId="ab">
    <w:name w:val="footer"/>
    <w:basedOn w:val="a"/>
    <w:link w:val="ac"/>
    <w:uiPriority w:val="99"/>
    <w:unhideWhenUsed/>
    <w:rsid w:val="000C6EB6"/>
    <w:pPr>
      <w:tabs>
        <w:tab w:val="center" w:pos="4677"/>
        <w:tab w:val="right" w:pos="9355"/>
      </w:tabs>
      <w:spacing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0C6EB6"/>
    <w:rPr>
      <w:rFonts w:ascii="Times New Roman" w:hAnsi="Times New Roman"/>
      <w:color w:val="000000" w:themeColor="text1"/>
      <w:sz w:val="28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7281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377</TotalTime>
  <Pages>12</Pages>
  <Words>1888</Words>
  <Characters>10767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CtrlSoft</Company>
  <LinksUpToDate>false</LinksUpToDate>
  <CharactersWithSpaces>12630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bublik</dc:creator>
  <cp:lastModifiedBy>Пользователь Windows</cp:lastModifiedBy>
  <cp:revision>21</cp:revision>
  <cp:lastPrinted>2015-08-05T08:36:00Z</cp:lastPrinted>
  <dcterms:created xsi:type="dcterms:W3CDTF">2015-08-04T06:00:00Z</dcterms:created>
  <dcterms:modified xsi:type="dcterms:W3CDTF">2015-11-03T10:28:00Z</dcterms:modified>
</cp:coreProperties>
</file>